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1F" w:rsidRDefault="00986A24">
      <w:pPr>
        <w:widowControl w:val="0"/>
        <w:spacing w:before="720"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ANEXO 1 (TÉCNICO)</w:t>
      </w:r>
    </w:p>
    <w:p w:rsidR="00AB271F" w:rsidRDefault="00AB271F">
      <w:pPr>
        <w:widowControl w:val="0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AB271F" w:rsidRDefault="00AB271F">
      <w:pPr>
        <w:widowControl w:val="0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AB271F" w:rsidRDefault="0098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Dependencia solicitante: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Consejo Estatal de Ciencia y Tecnología de Jalisco (COECYTJAL)</w:t>
      </w:r>
    </w:p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  <w:bookmarkStart w:id="1" w:name="_heading=h.pshosyv8uw8r" w:colFirst="0" w:colLast="0"/>
      <w:bookmarkEnd w:id="1"/>
    </w:p>
    <w:p w:rsidR="00AB271F" w:rsidRDefault="0098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bookmarkStart w:id="2" w:name="_heading=h.zgn7zad5f5qd" w:colFirst="0" w:colLast="0"/>
      <w:bookmarkEnd w:id="2"/>
      <w:r>
        <w:rPr>
          <w:rFonts w:ascii="Arial" w:eastAsia="Arial" w:hAnsi="Arial" w:cs="Arial"/>
          <w:b/>
        </w:rPr>
        <w:t xml:space="preserve">Unidad Ejecutora del Gasto: </w:t>
      </w:r>
      <w:r>
        <w:rPr>
          <w:rFonts w:ascii="Arial" w:eastAsia="Arial" w:hAnsi="Arial" w:cs="Arial"/>
        </w:rPr>
        <w:t>Dirección de Estrategia y Coordinación</w:t>
      </w:r>
    </w:p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</w:p>
    <w:p w:rsidR="00AB271F" w:rsidRDefault="00986A24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Objetivo del bien o servicio:  </w:t>
      </w:r>
      <w:r>
        <w:rPr>
          <w:rFonts w:ascii="Arial" w:eastAsia="Arial" w:hAnsi="Arial" w:cs="Arial"/>
        </w:rPr>
        <w:t xml:space="preserve">La finalidad del presente servicio es contratar la ejecución de un programa de incubación y aceleración emprendedora derivado de la formación ofrecida por </w:t>
      </w:r>
      <w:proofErr w:type="spellStart"/>
      <w:r>
        <w:rPr>
          <w:rFonts w:ascii="Arial" w:eastAsia="Arial" w:hAnsi="Arial" w:cs="Arial"/>
        </w:rPr>
        <w:t>PLAi</w:t>
      </w:r>
      <w:proofErr w:type="spellEnd"/>
      <w:r>
        <w:rPr>
          <w:rFonts w:ascii="Arial" w:eastAsia="Arial" w:hAnsi="Arial" w:cs="Arial"/>
        </w:rPr>
        <w:t xml:space="preserve"> Innovar en colaboración con la Red de Centros de Innovación y Emprendimiento, (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>).</w:t>
      </w:r>
    </w:p>
    <w:p w:rsidR="00AB271F" w:rsidRDefault="00986A24">
      <w:pPr>
        <w:spacing w:after="0"/>
        <w:ind w:left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Este progr</w:t>
      </w:r>
      <w:r>
        <w:rPr>
          <w:rFonts w:ascii="Arial" w:eastAsia="Arial" w:hAnsi="Arial" w:cs="Arial"/>
        </w:rPr>
        <w:t xml:space="preserve">ama tiene como propósito fortalecer las capacidades de emprendimientos en etapas de ideación, validación y aceleración (niveles Explorador, Constructor y Visionario) mediante capacitación modular, </w:t>
      </w:r>
      <w:proofErr w:type="spellStart"/>
      <w:r>
        <w:rPr>
          <w:rFonts w:ascii="Arial" w:eastAsia="Arial" w:hAnsi="Arial" w:cs="Arial"/>
        </w:rPr>
        <w:t>mentoría</w:t>
      </w:r>
      <w:proofErr w:type="spellEnd"/>
      <w:r>
        <w:rPr>
          <w:rFonts w:ascii="Arial" w:eastAsia="Arial" w:hAnsi="Arial" w:cs="Arial"/>
        </w:rPr>
        <w:t>, asesoría continua y vinculación con el ecosistema</w:t>
      </w:r>
      <w:r>
        <w:rPr>
          <w:rFonts w:ascii="Arial" w:eastAsia="Arial" w:hAnsi="Arial" w:cs="Arial"/>
        </w:rPr>
        <w:t>. Con ello se busca potenciar la madurez de innovación de los proyectos, “</w:t>
      </w:r>
      <w:proofErr w:type="spellStart"/>
      <w:r>
        <w:rPr>
          <w:rFonts w:ascii="Arial" w:eastAsia="Arial" w:hAnsi="Arial" w:cs="Arial"/>
        </w:rPr>
        <w:t>Innovation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Readiness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>” (IRL), así como la generación de vinculación de alto valor que permita el lanzamiento de los productos o servicios de los participantes en mercados locale</w:t>
      </w:r>
      <w:r>
        <w:rPr>
          <w:rFonts w:ascii="Arial" w:eastAsia="Arial" w:hAnsi="Arial" w:cs="Arial"/>
        </w:rPr>
        <w:t>s y regionales.</w:t>
      </w:r>
    </w:p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</w:rPr>
      </w:pPr>
    </w:p>
    <w:p w:rsidR="00AB271F" w:rsidRDefault="00986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Objeto </w:t>
      </w:r>
      <w:r>
        <w:rPr>
          <w:rFonts w:ascii="Arial" w:eastAsia="Arial" w:hAnsi="Arial" w:cs="Arial"/>
          <w:b/>
        </w:rPr>
        <w:t>del bien o servicio: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</w:p>
    <w:p w:rsidR="00AB271F" w:rsidRDefault="00986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Implementar y operar un programa integral de incubación/aceleración para emprendimientos, que incluya los siguientes componentes principales:</w:t>
      </w:r>
    </w:p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:rsidR="00AB271F" w:rsidRDefault="00986A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Participación en la alineación estratégica, convocatoria, y diagnóstico:</w:t>
      </w:r>
      <w:r>
        <w:rPr>
          <w:rFonts w:ascii="Arial" w:eastAsia="Arial" w:hAnsi="Arial" w:cs="Arial"/>
        </w:rPr>
        <w:t xml:space="preserve"> coordinación de la organización metodológica y operativa con los/las responsables del Consejo Estatal de Ciencia y Tecnología y la Secretaría</w:t>
      </w:r>
      <w:r>
        <w:rPr>
          <w:rFonts w:ascii="Arial" w:eastAsia="Arial" w:hAnsi="Arial" w:cs="Arial"/>
        </w:rPr>
        <w:t xml:space="preserve"> de Innovación, Ciencia y Tecnología, en </w:t>
      </w:r>
      <w:r>
        <w:rPr>
          <w:rFonts w:ascii="Arial" w:eastAsia="Arial" w:hAnsi="Arial" w:cs="Arial"/>
        </w:rPr>
        <w:t xml:space="preserve">la elaboración de la convocatoria, selección y evaluación diagnóstica inicial de los proyectos participantes a través del diagnóstico del IRL de cada proyecto, en colaboración con la autoridad contratante. </w:t>
      </w:r>
    </w:p>
    <w:p w:rsidR="00AB271F" w:rsidRDefault="00986A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Capacitación en talleres presenciales:</w:t>
      </w:r>
      <w:r>
        <w:rPr>
          <w:rFonts w:ascii="Arial" w:eastAsia="Arial" w:hAnsi="Arial" w:cs="Arial"/>
        </w:rPr>
        <w:t xml:space="preserve"> Impartició</w:t>
      </w:r>
      <w:r>
        <w:rPr>
          <w:rFonts w:ascii="Arial" w:eastAsia="Arial" w:hAnsi="Arial" w:cs="Arial"/>
        </w:rPr>
        <w:t>n de 5 talleres según el perfil de</w:t>
      </w:r>
      <w:r>
        <w:rPr>
          <w:rFonts w:ascii="Arial" w:eastAsia="Arial" w:hAnsi="Arial" w:cs="Arial"/>
        </w:rPr>
        <w:t xml:space="preserve"> los participantes que incluya la vinculación personalizada de proyectos y mentores, así como la tipificación de proyectos según su nivel de maduración.</w:t>
      </w:r>
    </w:p>
    <w:p w:rsidR="00AB271F" w:rsidRDefault="00986A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Mentorías</w:t>
      </w:r>
      <w:proofErr w:type="spellEnd"/>
      <w:r>
        <w:rPr>
          <w:rFonts w:ascii="Arial" w:eastAsia="Arial" w:hAnsi="Arial" w:cs="Arial"/>
          <w:b/>
        </w:rPr>
        <w:t xml:space="preserve"> especializadas:</w:t>
      </w:r>
      <w:r>
        <w:rPr>
          <w:rFonts w:ascii="Arial" w:eastAsia="Arial" w:hAnsi="Arial" w:cs="Arial"/>
        </w:rPr>
        <w:t xml:space="preserve"> Asignación de una </w:t>
      </w:r>
      <w:proofErr w:type="spellStart"/>
      <w:r>
        <w:rPr>
          <w:rFonts w:ascii="Arial" w:eastAsia="Arial" w:hAnsi="Arial" w:cs="Arial"/>
        </w:rPr>
        <w:t>mentoría</w:t>
      </w:r>
      <w:proofErr w:type="spellEnd"/>
      <w:r>
        <w:rPr>
          <w:rFonts w:ascii="Arial" w:eastAsia="Arial" w:hAnsi="Arial" w:cs="Arial"/>
        </w:rPr>
        <w:t xml:space="preserve"> por proyecto al</w:t>
      </w:r>
      <w:r>
        <w:rPr>
          <w:rFonts w:ascii="Arial" w:eastAsia="Arial" w:hAnsi="Arial" w:cs="Arial"/>
        </w:rPr>
        <w:t xml:space="preserve">ineada con cada uno de los cinco talleres temáticos activos en el programa. Asignación de una </w:t>
      </w:r>
      <w:proofErr w:type="spellStart"/>
      <w:r>
        <w:rPr>
          <w:rFonts w:ascii="Arial" w:eastAsia="Arial" w:hAnsi="Arial" w:cs="Arial"/>
        </w:rPr>
        <w:t>mentoría</w:t>
      </w:r>
      <w:proofErr w:type="spellEnd"/>
      <w:r>
        <w:rPr>
          <w:rFonts w:ascii="Arial" w:eastAsia="Arial" w:hAnsi="Arial" w:cs="Arial"/>
        </w:rPr>
        <w:t xml:space="preserve"> final especializada con un perfil de alto nivel (con relevancia en el ecosistema de emprendimiento) a los mejores tres proyectos participantes (previa ev</w:t>
      </w:r>
      <w:r>
        <w:rPr>
          <w:rFonts w:ascii="Arial" w:eastAsia="Arial" w:hAnsi="Arial" w:cs="Arial"/>
        </w:rPr>
        <w:t>aluación del proveedor del equipo de la Secretaría de Innovación, Ciencia y Tecnología).</w:t>
      </w:r>
    </w:p>
    <w:p w:rsidR="00AB271F" w:rsidRDefault="00986A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Asesorías estratégicas individuales:</w:t>
      </w:r>
      <w:r>
        <w:rPr>
          <w:rFonts w:ascii="Arial" w:eastAsia="Arial" w:hAnsi="Arial" w:cs="Arial"/>
        </w:rPr>
        <w:t xml:space="preserve"> Asesorías expertas por proyecto, personalizadas según las necesidades de cada </w:t>
      </w:r>
      <w:proofErr w:type="spellStart"/>
      <w:r>
        <w:rPr>
          <w:rFonts w:ascii="Arial" w:eastAsia="Arial" w:hAnsi="Arial" w:cs="Arial"/>
        </w:rPr>
        <w:t>startup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MiPyME</w:t>
      </w:r>
      <w:proofErr w:type="spellEnd"/>
      <w:r>
        <w:rPr>
          <w:rFonts w:ascii="Arial" w:eastAsia="Arial" w:hAnsi="Arial" w:cs="Arial"/>
        </w:rPr>
        <w:t xml:space="preserve"> (Micro, Pequeña y Mediana Empresa) </w:t>
      </w:r>
      <w:r>
        <w:rPr>
          <w:rFonts w:ascii="Arial" w:eastAsia="Arial" w:hAnsi="Arial" w:cs="Arial"/>
        </w:rPr>
        <w:t>tradicional participante.</w:t>
      </w:r>
    </w:p>
    <w:p w:rsidR="00AB271F" w:rsidRDefault="00986A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Sesión de training virtual para pitch y Demo Day presencial por cada </w:t>
      </w:r>
      <w:proofErr w:type="spellStart"/>
      <w:r>
        <w:rPr>
          <w:rFonts w:ascii="Arial" w:eastAsia="Arial" w:hAnsi="Arial" w:cs="Arial"/>
          <w:b/>
        </w:rPr>
        <w:t>REDi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Organización y acompañamiento en presentaciones de proyectos ante inversionistas y redes de capital (fondos, “</w:t>
      </w:r>
      <w:proofErr w:type="spellStart"/>
      <w:r>
        <w:rPr>
          <w:rFonts w:ascii="Arial" w:eastAsia="Arial" w:hAnsi="Arial" w:cs="Arial"/>
        </w:rPr>
        <w:t>VCs</w:t>
      </w:r>
      <w:proofErr w:type="spellEnd"/>
      <w:r>
        <w:rPr>
          <w:rFonts w:ascii="Arial" w:eastAsia="Arial" w:hAnsi="Arial" w:cs="Arial"/>
        </w:rPr>
        <w:t>”, Instituciones de Capital de Riesgo) dur</w:t>
      </w:r>
      <w:r>
        <w:rPr>
          <w:rFonts w:ascii="Arial" w:eastAsia="Arial" w:hAnsi="Arial" w:cs="Arial"/>
        </w:rPr>
        <w:t>ante eventos finales, facilitando conexiones con actores globales.</w:t>
      </w:r>
    </w:p>
    <w:p w:rsidR="00AB271F" w:rsidRDefault="00986A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Eventos de </w:t>
      </w:r>
      <w:proofErr w:type="spellStart"/>
      <w:r>
        <w:rPr>
          <w:rFonts w:ascii="Arial" w:eastAsia="Arial" w:hAnsi="Arial" w:cs="Arial"/>
          <w:b/>
        </w:rPr>
        <w:t>networking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Planeación de encuentros presenciales y mesas de trabajo para vincular a los emprendedores con empresas, instituciones y demás actores relevantes del ecosistema.</w:t>
      </w:r>
    </w:p>
    <w:p w:rsidR="00AB271F" w:rsidRDefault="00986A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Plat</w:t>
      </w:r>
      <w:r>
        <w:rPr>
          <w:rFonts w:ascii="Arial" w:eastAsia="Arial" w:hAnsi="Arial" w:cs="Arial"/>
          <w:b/>
        </w:rPr>
        <w:t>aforma digital de apoyo:</w:t>
      </w:r>
      <w:r>
        <w:rPr>
          <w:rFonts w:ascii="Arial" w:eastAsia="Arial" w:hAnsi="Arial" w:cs="Arial"/>
        </w:rPr>
        <w:t xml:space="preserve"> Gestión de una plataforma en línea (</w:t>
      </w:r>
      <w:proofErr w:type="spellStart"/>
      <w:r>
        <w:rPr>
          <w:rFonts w:ascii="Arial" w:eastAsia="Arial" w:hAnsi="Arial" w:cs="Arial"/>
        </w:rPr>
        <w:t>PLAi</w:t>
      </w:r>
      <w:proofErr w:type="spellEnd"/>
      <w:r>
        <w:rPr>
          <w:rFonts w:ascii="Arial" w:eastAsia="Arial" w:hAnsi="Arial" w:cs="Arial"/>
        </w:rPr>
        <w:t xml:space="preserve"> Innovar) como contenido complementario de contenido formativo, espacios de comunicación y herramientas de gestión de avances.</w:t>
      </w:r>
    </w:p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</w:p>
    <w:p w:rsidR="00AB271F" w:rsidRDefault="00986A24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Especificaciones Técnicas Mínimas Requeridas.</w:t>
      </w:r>
    </w:p>
    <w:p w:rsidR="00AB271F" w:rsidRDefault="00AB271F">
      <w:pPr>
        <w:rPr>
          <w:rFonts w:ascii="Arial" w:eastAsia="Arial" w:hAnsi="Arial" w:cs="Arial"/>
          <w:b/>
        </w:rPr>
      </w:pPr>
    </w:p>
    <w:p w:rsidR="00AB271F" w:rsidRDefault="00986A24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5.1 Obligatoriedad de la Visita de Campo</w:t>
      </w:r>
    </w:p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p w:rsidR="00AB271F" w:rsidRDefault="00AB271F">
      <w:pPr>
        <w:spacing w:after="0"/>
        <w:ind w:left="1080"/>
        <w:jc w:val="both"/>
        <w:rPr>
          <w:rFonts w:ascii="Arial" w:eastAsia="Arial" w:hAnsi="Arial" w:cs="Arial"/>
          <w:b/>
        </w:rPr>
      </w:pPr>
    </w:p>
    <w:tbl>
      <w:tblPr>
        <w:tblStyle w:val="af1"/>
        <w:tblW w:w="8550" w:type="dxa"/>
        <w:tblInd w:w="821" w:type="dxa"/>
        <w:tblLayout w:type="fixed"/>
        <w:tblLook w:val="0400" w:firstRow="0" w:lastRow="0" w:firstColumn="0" w:lastColumn="0" w:noHBand="0" w:noVBand="1"/>
      </w:tblPr>
      <w:tblGrid>
        <w:gridCol w:w="1515"/>
        <w:gridCol w:w="2332"/>
        <w:gridCol w:w="4703"/>
      </w:tblGrid>
      <w:tr w:rsidR="00AB271F">
        <w:trPr>
          <w:trHeight w:val="320"/>
        </w:trPr>
        <w:tc>
          <w:tcPr>
            <w:tcW w:w="8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vAlign w:val="bottom"/>
          </w:tcPr>
          <w:p w:rsidR="00AB271F" w:rsidRDefault="00986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Visita a Campo</w:t>
            </w:r>
          </w:p>
        </w:tc>
      </w:tr>
      <w:tr w:rsidR="00AB271F">
        <w:trPr>
          <w:trHeight w:val="34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vAlign w:val="bottom"/>
          </w:tcPr>
          <w:p w:rsidR="00AB271F" w:rsidRDefault="00986A2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Obligatorio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AB271F" w:rsidRDefault="00986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(  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271F" w:rsidRDefault="00986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( x )</w:t>
            </w:r>
          </w:p>
        </w:tc>
      </w:tr>
    </w:tbl>
    <w:p w:rsidR="00AB271F" w:rsidRDefault="00AB271F">
      <w:pPr>
        <w:spacing w:after="0"/>
        <w:jc w:val="both"/>
        <w:rPr>
          <w:rFonts w:ascii="Arial" w:eastAsia="Arial" w:hAnsi="Arial" w:cs="Arial"/>
        </w:rPr>
      </w:pPr>
    </w:p>
    <w:p w:rsidR="00AB271F" w:rsidRDefault="00AB271F">
      <w:pPr>
        <w:spacing w:after="0"/>
        <w:ind w:left="1080"/>
        <w:jc w:val="both"/>
        <w:rPr>
          <w:rFonts w:ascii="Arial" w:eastAsia="Arial" w:hAnsi="Arial" w:cs="Arial"/>
        </w:rPr>
      </w:pPr>
    </w:p>
    <w:p w:rsidR="00AB271F" w:rsidRDefault="00986A24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5.2 Obligatoriedad de las Muestras Físicas</w:t>
      </w:r>
    </w:p>
    <w:p w:rsidR="00AB271F" w:rsidRDefault="00AB271F">
      <w:pPr>
        <w:spacing w:after="0"/>
        <w:ind w:left="1080"/>
        <w:jc w:val="both"/>
        <w:rPr>
          <w:rFonts w:ascii="Arial" w:eastAsia="Arial" w:hAnsi="Arial" w:cs="Arial"/>
          <w:b/>
        </w:rPr>
      </w:pPr>
    </w:p>
    <w:tbl>
      <w:tblPr>
        <w:tblStyle w:val="af2"/>
        <w:tblW w:w="8550" w:type="dxa"/>
        <w:tblInd w:w="821" w:type="dxa"/>
        <w:tblLayout w:type="fixed"/>
        <w:tblLook w:val="0400" w:firstRow="0" w:lastRow="0" w:firstColumn="0" w:lastColumn="0" w:noHBand="0" w:noVBand="1"/>
      </w:tblPr>
      <w:tblGrid>
        <w:gridCol w:w="1515"/>
        <w:gridCol w:w="2332"/>
        <w:gridCol w:w="4703"/>
      </w:tblGrid>
      <w:tr w:rsidR="00AB271F">
        <w:trPr>
          <w:trHeight w:val="320"/>
        </w:trPr>
        <w:tc>
          <w:tcPr>
            <w:tcW w:w="8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vAlign w:val="bottom"/>
          </w:tcPr>
          <w:p w:rsidR="00AB271F" w:rsidRDefault="00986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Muestras Físicas</w:t>
            </w:r>
          </w:p>
        </w:tc>
      </w:tr>
      <w:tr w:rsidR="00AB271F">
        <w:trPr>
          <w:trHeight w:val="34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vAlign w:val="bottom"/>
          </w:tcPr>
          <w:p w:rsidR="00AB271F" w:rsidRDefault="00986A2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Obligatorio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AB271F" w:rsidRDefault="00986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(  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271F" w:rsidRDefault="00986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( x )</w:t>
            </w:r>
          </w:p>
        </w:tc>
      </w:tr>
    </w:tbl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p w:rsidR="00AB271F" w:rsidRDefault="00986A24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B271F" w:rsidRDefault="00986A24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5.3 Especificaciones Técnicas Mínimas</w:t>
      </w:r>
    </w:p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p w:rsidR="00AB271F" w:rsidRDefault="00986A2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Implementación de un programa híbrido de incubación y aceleración emprendedora con duración de 18 semanas operativas, ejecutado en cinco centros </w:t>
      </w:r>
      <w:proofErr w:type="spellStart"/>
      <w:r>
        <w:rPr>
          <w:rFonts w:ascii="Arial" w:eastAsia="Arial" w:hAnsi="Arial" w:cs="Arial"/>
        </w:rPr>
        <w:t>REDi</w:t>
      </w:r>
      <w:proofErr w:type="spellEnd"/>
      <w:r>
        <w:rPr>
          <w:rFonts w:ascii="Arial" w:eastAsia="Arial" w:hAnsi="Arial" w:cs="Arial"/>
        </w:rPr>
        <w:t>.</w:t>
      </w:r>
    </w:p>
    <w:p w:rsidR="00AB271F" w:rsidRDefault="00AB271F">
      <w:pPr>
        <w:spacing w:after="0"/>
        <w:jc w:val="both"/>
        <w:rPr>
          <w:rFonts w:ascii="Arial" w:eastAsia="Arial" w:hAnsi="Arial" w:cs="Arial"/>
        </w:rPr>
      </w:pPr>
    </w:p>
    <w:p w:rsidR="00AB271F" w:rsidRDefault="00986A2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programa se estructura en cinco módulos temáticos:</w:t>
      </w:r>
    </w:p>
    <w:p w:rsidR="00AB271F" w:rsidRDefault="00AB271F">
      <w:pPr>
        <w:spacing w:after="0"/>
        <w:jc w:val="both"/>
        <w:rPr>
          <w:rFonts w:ascii="Arial" w:eastAsia="Arial" w:hAnsi="Arial" w:cs="Arial"/>
        </w:rPr>
      </w:pPr>
    </w:p>
    <w:p w:rsidR="00AB271F" w:rsidRDefault="00986A2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</w:t>
      </w:r>
      <w:proofErr w:type="spellStart"/>
      <w:r>
        <w:rPr>
          <w:rFonts w:ascii="Arial" w:eastAsia="Arial" w:hAnsi="Arial" w:cs="Arial"/>
        </w:rPr>
        <w:t>MiPyMES</w:t>
      </w:r>
      <w:proofErr w:type="spellEnd"/>
      <w:r>
        <w:rPr>
          <w:rFonts w:ascii="Arial" w:eastAsia="Arial" w:hAnsi="Arial" w:cs="Arial"/>
        </w:rPr>
        <w:t xml:space="preserve"> tradicionales</w:t>
      </w:r>
    </w:p>
    <w:p w:rsidR="00AB271F" w:rsidRDefault="00986A2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Planeación estratégica</w:t>
      </w:r>
    </w:p>
    <w:p w:rsidR="00AB271F" w:rsidRDefault="00986A2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Modelo de negocio</w:t>
      </w:r>
    </w:p>
    <w:p w:rsidR="00AB271F" w:rsidRDefault="00986A2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Digitalización</w:t>
      </w:r>
    </w:p>
    <w:p w:rsidR="00AB271F" w:rsidRDefault="00986A2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Finanzas</w:t>
      </w:r>
    </w:p>
    <w:p w:rsidR="00AB271F" w:rsidRDefault="00986A2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Profesionalización del equipo</w:t>
      </w:r>
    </w:p>
    <w:p w:rsidR="00AB271F" w:rsidRDefault="00986A2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</w:t>
      </w:r>
      <w:proofErr w:type="spellStart"/>
      <w:r>
        <w:rPr>
          <w:rFonts w:ascii="Arial" w:eastAsia="Arial" w:hAnsi="Arial" w:cs="Arial"/>
        </w:rPr>
        <w:t>Startups</w:t>
      </w:r>
      <w:proofErr w:type="spellEnd"/>
    </w:p>
    <w:p w:rsidR="00AB271F" w:rsidRDefault="00986A24">
      <w:pPr>
        <w:numPr>
          <w:ilvl w:val="0"/>
          <w:numId w:val="9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Innovación</w:t>
      </w:r>
    </w:p>
    <w:p w:rsidR="00AB271F" w:rsidRDefault="00986A24">
      <w:pPr>
        <w:numPr>
          <w:ilvl w:val="0"/>
          <w:numId w:val="9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Validación de mercado</w:t>
      </w:r>
    </w:p>
    <w:p w:rsidR="00AB271F" w:rsidRDefault="00986A24">
      <w:pPr>
        <w:numPr>
          <w:ilvl w:val="0"/>
          <w:numId w:val="9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Propiedad intelectual</w:t>
      </w:r>
    </w:p>
    <w:p w:rsidR="00AB271F" w:rsidRDefault="00986A24">
      <w:pPr>
        <w:numPr>
          <w:ilvl w:val="0"/>
          <w:numId w:val="9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Escalamiento</w:t>
      </w:r>
    </w:p>
    <w:p w:rsidR="00AB271F" w:rsidRDefault="00986A24">
      <w:pPr>
        <w:numPr>
          <w:ilvl w:val="0"/>
          <w:numId w:val="9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Preparación para inversión</w:t>
      </w:r>
    </w:p>
    <w:p w:rsidR="00AB271F" w:rsidRDefault="00986A2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Cada módulo debe incluir para cada proyecto:</w:t>
      </w:r>
    </w:p>
    <w:p w:rsidR="00AB271F" w:rsidRDefault="00986A2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talleres presenciales (1 por módulo) + contenidos en plataforma </w:t>
      </w:r>
      <w:proofErr w:type="spellStart"/>
      <w:r>
        <w:rPr>
          <w:rFonts w:ascii="Arial" w:eastAsia="Arial" w:hAnsi="Arial" w:cs="Arial"/>
        </w:rPr>
        <w:t>PLAi</w:t>
      </w:r>
      <w:proofErr w:type="spellEnd"/>
      <w:r>
        <w:rPr>
          <w:rFonts w:ascii="Arial" w:eastAsia="Arial" w:hAnsi="Arial" w:cs="Arial"/>
        </w:rPr>
        <w:t xml:space="preserve"> Innovar</w:t>
      </w:r>
    </w:p>
    <w:p w:rsidR="00AB271F" w:rsidRDefault="00986A2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</w:t>
      </w:r>
      <w:proofErr w:type="spellStart"/>
      <w:r>
        <w:rPr>
          <w:rFonts w:ascii="Arial" w:eastAsia="Arial" w:hAnsi="Arial" w:cs="Arial"/>
        </w:rPr>
        <w:t>mentorías</w:t>
      </w:r>
      <w:proofErr w:type="spellEnd"/>
      <w:r>
        <w:rPr>
          <w:rFonts w:ascii="Arial" w:eastAsia="Arial" w:hAnsi="Arial" w:cs="Arial"/>
        </w:rPr>
        <w:t xml:space="preserve"> grupal (virtuales)</w:t>
      </w:r>
    </w:p>
    <w:p w:rsidR="00AB271F" w:rsidRDefault="00986A2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</w:t>
      </w:r>
      <w:proofErr w:type="spellStart"/>
      <w:r>
        <w:rPr>
          <w:rFonts w:ascii="Arial" w:eastAsia="Arial" w:hAnsi="Arial" w:cs="Arial"/>
        </w:rPr>
        <w:t>mentorias</w:t>
      </w:r>
      <w:proofErr w:type="spellEnd"/>
      <w:r>
        <w:rPr>
          <w:rFonts w:ascii="Arial" w:eastAsia="Arial" w:hAnsi="Arial" w:cs="Arial"/>
        </w:rPr>
        <w:t xml:space="preserve"> individuales (virtuales)</w:t>
      </w:r>
    </w:p>
    <w:p w:rsidR="00AB271F" w:rsidRDefault="00986A2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eventos de </w:t>
      </w:r>
      <w:proofErr w:type="spellStart"/>
      <w:r>
        <w:rPr>
          <w:rFonts w:ascii="Arial" w:eastAsia="Arial" w:hAnsi="Arial" w:cs="Arial"/>
        </w:rPr>
        <w:t>networking</w:t>
      </w:r>
      <w:proofErr w:type="spellEnd"/>
      <w:r>
        <w:rPr>
          <w:rFonts w:ascii="Arial" w:eastAsia="Arial" w:hAnsi="Arial" w:cs="Arial"/>
        </w:rPr>
        <w:t xml:space="preserve"> presenciales (uno por módulo)</w:t>
      </w:r>
    </w:p>
    <w:p w:rsidR="00AB271F" w:rsidRDefault="00986A2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 asesorías grupales especializadas (virtuales)</w:t>
      </w:r>
    </w:p>
    <w:p w:rsidR="00AB271F" w:rsidRDefault="00986A2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aseso</w:t>
      </w:r>
      <w:r>
        <w:rPr>
          <w:rFonts w:ascii="Arial" w:eastAsia="Arial" w:hAnsi="Arial" w:cs="Arial"/>
        </w:rPr>
        <w:t>ría individual (virtual)</w:t>
      </w:r>
    </w:p>
    <w:p w:rsidR="00AB271F" w:rsidRDefault="00986A2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mentoría</w:t>
      </w:r>
      <w:proofErr w:type="spellEnd"/>
      <w:r>
        <w:rPr>
          <w:rFonts w:ascii="Arial" w:eastAsia="Arial" w:hAnsi="Arial" w:cs="Arial"/>
        </w:rPr>
        <w:t xml:space="preserve"> de alto nivel (virtual) a los 3 proyectos destacados por sede</w:t>
      </w:r>
    </w:p>
    <w:p w:rsidR="00AB271F" w:rsidRDefault="00986A2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sesión de pitch training + Demo Day final presencial</w:t>
      </w:r>
    </w:p>
    <w:p w:rsidR="00AB271F" w:rsidRDefault="00986A2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Recursos Humanos Especializados</w:t>
      </w:r>
    </w:p>
    <w:p w:rsidR="00AB271F" w:rsidRDefault="00986A24">
      <w:pPr>
        <w:numPr>
          <w:ilvl w:val="0"/>
          <w:numId w:val="10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asignará un mentor principal por emprendimiento, acompañado por expe</w:t>
      </w:r>
      <w:r>
        <w:rPr>
          <w:rFonts w:ascii="Arial" w:eastAsia="Arial" w:hAnsi="Arial" w:cs="Arial"/>
        </w:rPr>
        <w:t xml:space="preserve">rtos temáticos en áreas como escalabilidad tecnológica, levantamiento de capital y estrategia. Además, los tres proyectos con mejor desempeño en cada sede recibirán </w:t>
      </w:r>
      <w:proofErr w:type="spellStart"/>
      <w:r>
        <w:rPr>
          <w:rFonts w:ascii="Arial" w:eastAsia="Arial" w:hAnsi="Arial" w:cs="Arial"/>
        </w:rPr>
        <w:t>mentoría</w:t>
      </w:r>
      <w:proofErr w:type="spellEnd"/>
      <w:r>
        <w:rPr>
          <w:rFonts w:ascii="Arial" w:eastAsia="Arial" w:hAnsi="Arial" w:cs="Arial"/>
        </w:rPr>
        <w:t xml:space="preserve"> de alto nivel con expertos internacionales.</w:t>
      </w:r>
    </w:p>
    <w:p w:rsidR="00AB271F" w:rsidRDefault="00986A2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Organización de Eventos y </w:t>
      </w:r>
      <w:proofErr w:type="spellStart"/>
      <w:r>
        <w:rPr>
          <w:rFonts w:ascii="Arial" w:eastAsia="Arial" w:hAnsi="Arial" w:cs="Arial"/>
        </w:rPr>
        <w:t>Networking</w:t>
      </w:r>
      <w:proofErr w:type="spellEnd"/>
    </w:p>
    <w:p w:rsidR="00AB271F" w:rsidRDefault="00986A24">
      <w:pPr>
        <w:numPr>
          <w:ilvl w:val="0"/>
          <w:numId w:val="3"/>
        </w:numPr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llevarán a cabo 5 sesiones de </w:t>
      </w:r>
      <w:proofErr w:type="spellStart"/>
      <w:r>
        <w:rPr>
          <w:rFonts w:ascii="Arial" w:eastAsia="Arial" w:hAnsi="Arial" w:cs="Arial"/>
        </w:rPr>
        <w:t>networking</w:t>
      </w:r>
      <w:proofErr w:type="spellEnd"/>
      <w:r>
        <w:rPr>
          <w:rFonts w:ascii="Arial" w:eastAsia="Arial" w:hAnsi="Arial" w:cs="Arial"/>
        </w:rPr>
        <w:t xml:space="preserve"> presencial (una por módulo), que incluirán mesas redondas, paneles temáticos y dinámicas de conexión entre emprendedores, instituciones y aliados estratégicos.</w:t>
      </w:r>
    </w:p>
    <w:p w:rsidR="00AB271F" w:rsidRDefault="00986A24">
      <w:pPr>
        <w:numPr>
          <w:ilvl w:val="0"/>
          <w:numId w:val="3"/>
        </w:num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programa culminará con un Demo Day presencial don</w:t>
      </w:r>
      <w:r>
        <w:rPr>
          <w:rFonts w:ascii="Arial" w:eastAsia="Arial" w:hAnsi="Arial" w:cs="Arial"/>
        </w:rPr>
        <w:t>de los emprendimientos presentarán su pitch ante un panel de expertos, fondos de inversión y redes de apoyo.</w:t>
      </w:r>
    </w:p>
    <w:p w:rsidR="00AB271F" w:rsidRDefault="00986A2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Plataforma Digital</w:t>
      </w:r>
    </w:p>
    <w:p w:rsidR="00AB271F" w:rsidRDefault="00986A24">
      <w:pPr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acompañamiento será reforzado mediante la plataforma </w:t>
      </w:r>
      <w:proofErr w:type="spellStart"/>
      <w:r>
        <w:rPr>
          <w:rFonts w:ascii="Arial" w:eastAsia="Arial" w:hAnsi="Arial" w:cs="Arial"/>
        </w:rPr>
        <w:t>PLAi</w:t>
      </w:r>
      <w:proofErr w:type="spellEnd"/>
      <w:r>
        <w:rPr>
          <w:rFonts w:ascii="Arial" w:eastAsia="Arial" w:hAnsi="Arial" w:cs="Arial"/>
        </w:rPr>
        <w:t xml:space="preserve"> Innovar, donde los participantes accederán a contenidos </w:t>
      </w:r>
      <w:proofErr w:type="spellStart"/>
      <w:r>
        <w:rPr>
          <w:rFonts w:ascii="Arial" w:eastAsia="Arial" w:hAnsi="Arial" w:cs="Arial"/>
        </w:rPr>
        <w:t>autogestivo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, herramientas técnicas y diagnósticos por módulo. El acceso a </w:t>
      </w:r>
      <w:proofErr w:type="spellStart"/>
      <w:r>
        <w:rPr>
          <w:rFonts w:ascii="Arial" w:eastAsia="Arial" w:hAnsi="Arial" w:cs="Arial"/>
        </w:rPr>
        <w:t>mentorías</w:t>
      </w:r>
      <w:proofErr w:type="spellEnd"/>
      <w:r>
        <w:rPr>
          <w:rFonts w:ascii="Arial" w:eastAsia="Arial" w:hAnsi="Arial" w:cs="Arial"/>
        </w:rPr>
        <w:t xml:space="preserve"> y asesorías estará condicionado a la finalización de cursos base por módulo, promoviendo una cultura de preparación previa y aprendizaje continuo.</w:t>
      </w:r>
    </w:p>
    <w:p w:rsidR="00AB271F" w:rsidRDefault="00986A2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Reportes de Avance y Evidencias</w:t>
      </w:r>
    </w:p>
    <w:p w:rsidR="00AB271F" w:rsidRDefault="00986A24">
      <w:pPr>
        <w:numPr>
          <w:ilvl w:val="0"/>
          <w:numId w:val="12"/>
        </w:numPr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 xml:space="preserve">entregará bitácora por proyecto con el avance por módulo, </w:t>
      </w:r>
      <w:proofErr w:type="spellStart"/>
      <w:r>
        <w:rPr>
          <w:rFonts w:ascii="Arial" w:eastAsia="Arial" w:hAnsi="Arial" w:cs="Arial"/>
        </w:rPr>
        <w:t>mentorías</w:t>
      </w:r>
      <w:proofErr w:type="spellEnd"/>
      <w:r>
        <w:rPr>
          <w:rFonts w:ascii="Arial" w:eastAsia="Arial" w:hAnsi="Arial" w:cs="Arial"/>
        </w:rPr>
        <w:t xml:space="preserve"> recibidas, evaluaciones IRL y retroalimentación de asesores.</w:t>
      </w:r>
    </w:p>
    <w:p w:rsidR="00AB271F" w:rsidRDefault="00986A24">
      <w:pPr>
        <w:numPr>
          <w:ilvl w:val="0"/>
          <w:numId w:val="1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incluirán encuestas de satisfacción, NPS por módulo, indicadores de participación y evidencia audiovisual de talleres, </w:t>
      </w:r>
      <w:proofErr w:type="spellStart"/>
      <w:r>
        <w:rPr>
          <w:rFonts w:ascii="Arial" w:eastAsia="Arial" w:hAnsi="Arial" w:cs="Arial"/>
        </w:rPr>
        <w:t>netwo</w:t>
      </w:r>
      <w:r>
        <w:rPr>
          <w:rFonts w:ascii="Arial" w:eastAsia="Arial" w:hAnsi="Arial" w:cs="Arial"/>
        </w:rPr>
        <w:t>rking</w:t>
      </w:r>
      <w:proofErr w:type="spellEnd"/>
      <w:r>
        <w:rPr>
          <w:rFonts w:ascii="Arial" w:eastAsia="Arial" w:hAnsi="Arial" w:cs="Arial"/>
        </w:rPr>
        <w:t xml:space="preserve"> y Demo Day. </w:t>
      </w:r>
    </w:p>
    <w:p w:rsidR="00AB271F" w:rsidRDefault="00986A24">
      <w:pPr>
        <w:numPr>
          <w:ilvl w:val="0"/>
          <w:numId w:val="12"/>
        </w:num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cierre incluirá informe general de resultados con hallazgos, aprendizajes clave y recomendaciones para futuras implementaciones.</w:t>
      </w:r>
    </w:p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p w:rsidR="00AB271F" w:rsidRDefault="00986A24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</w:rPr>
        <w:t>5.4 Experiencia</w:t>
      </w:r>
    </w:p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sdt>
      <w:sdtPr>
        <w:tag w:val="goog_rdk_0"/>
        <w:id w:val="2028202692"/>
        <w:lock w:val="contentLocked"/>
      </w:sdtPr>
      <w:sdtEndPr/>
      <w:sdtContent>
        <w:tbl>
          <w:tblPr>
            <w:tblStyle w:val="af3"/>
            <w:tblW w:w="882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10"/>
            <w:gridCol w:w="2910"/>
            <w:gridCol w:w="4500"/>
          </w:tblGrid>
          <w:tr w:rsidR="00AB271F">
            <w:trPr>
              <w:jc w:val="center"/>
            </w:trPr>
            <w:tc>
              <w:tcPr>
                <w:tcW w:w="1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B271F" w:rsidRDefault="00986A2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Número</w:t>
                </w:r>
              </w:p>
            </w:tc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B271F" w:rsidRDefault="00986A2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Tipo de Documento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B271F" w:rsidRDefault="00986A2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Justificación</w:t>
                </w:r>
              </w:p>
            </w:tc>
          </w:tr>
          <w:tr w:rsidR="00AB271F">
            <w:trPr>
              <w:jc w:val="center"/>
            </w:trPr>
            <w:tc>
              <w:tcPr>
                <w:tcW w:w="1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AB271F" w:rsidRDefault="00986A24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1</w:t>
                </w:r>
              </w:p>
            </w:tc>
            <w:tc>
              <w:tcPr>
                <w:tcW w:w="29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AB271F" w:rsidRDefault="00986A24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Carta recomendación </w:t>
                </w:r>
              </w:p>
            </w:tc>
            <w:tc>
              <w:tcPr>
                <w:tcW w:w="4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B271F" w:rsidRDefault="00986A2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Copia de carta de recomendación firmada, con antigüedad no mayor a un año de clientes que se les haya brindado un servicio a fin materia del presente.</w:t>
                </w:r>
              </w:p>
            </w:tc>
          </w:tr>
        </w:tbl>
      </w:sdtContent>
    </w:sdt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p w:rsidR="00AB271F" w:rsidRDefault="00986A24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5.5 Certificaciones o cumplimientos normativos</w:t>
      </w:r>
    </w:p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p w:rsidR="00AB271F" w:rsidRDefault="00986A2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 certificación obligatoria específica.</w:t>
      </w:r>
    </w:p>
    <w:p w:rsidR="00AB271F" w:rsidRDefault="00AB271F">
      <w:pPr>
        <w:spacing w:after="0"/>
        <w:jc w:val="both"/>
        <w:rPr>
          <w:rFonts w:ascii="Arial" w:eastAsia="Arial" w:hAnsi="Arial" w:cs="Arial"/>
        </w:rPr>
      </w:pPr>
    </w:p>
    <w:p w:rsidR="00AB271F" w:rsidRDefault="00986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5.6 </w:t>
      </w:r>
      <w:r>
        <w:rPr>
          <w:rFonts w:ascii="Arial" w:eastAsia="Arial" w:hAnsi="Arial" w:cs="Arial"/>
          <w:b/>
          <w:color w:val="000000"/>
        </w:rPr>
        <w:t>Obligaciones de los Participantes</w:t>
      </w:r>
    </w:p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</w:p>
    <w:p w:rsidR="00AB271F" w:rsidRDefault="00AB271F">
      <w:pPr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af4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620"/>
        <w:gridCol w:w="5790"/>
      </w:tblGrid>
      <w:tr w:rsidR="00AB271F">
        <w:trPr>
          <w:trHeight w:val="5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</w:t>
            </w:r>
          </w:p>
        </w:tc>
      </w:tr>
      <w:tr w:rsidR="00AB271F">
        <w:trPr>
          <w:trHeight w:val="7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Carta compromiso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Expresando en términos claros que se somete y acepta las bases de la presente licitación.</w:t>
            </w:r>
          </w:p>
        </w:tc>
      </w:tr>
      <w:tr w:rsidR="00AB271F">
        <w:trPr>
          <w:trHeight w:val="1310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Carta compromiso (Bajo protesta de decir verdad de:)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Que manifieste que cederá todos los derechos sobre el material generado y campañas, así como los contenidos y productos generados para el portal a propiedad del </w:t>
            </w:r>
            <w:proofErr w:type="spellStart"/>
            <w:r>
              <w:rPr>
                <w:rFonts w:ascii="Arial" w:eastAsia="Arial" w:hAnsi="Arial" w:cs="Arial"/>
              </w:rPr>
              <w:t>COECyTJAL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AB271F">
        <w:trPr>
          <w:trHeight w:val="212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Que una vez adjudicado, deberá reunirse de manera periódica con el equipo del Consejo Estatal de Ciencia y Tecnología y la Dirección</w:t>
            </w:r>
            <w:r>
              <w:rPr>
                <w:rFonts w:ascii="Arial" w:eastAsia="Arial" w:hAnsi="Arial" w:cs="Arial"/>
              </w:rPr>
              <w:t xml:space="preserve"> General de Innovación, Desarrollo Empresarial y Social y Comunicación Social de la Secretaría de Innovación, Ciencia y T</w:t>
            </w:r>
            <w:r>
              <w:rPr>
                <w:rFonts w:ascii="Arial" w:eastAsia="Arial" w:hAnsi="Arial" w:cs="Arial"/>
              </w:rPr>
              <w:t>ecnología del Gobierno del Estado para alineación metodológica, planeación, seguimiento de grupos atendidos y análisis de resultados. Se deberá asignar un supervisor del proyecto (con nombre y cargo) disponible durante los  meses de ejecución.</w:t>
            </w:r>
          </w:p>
        </w:tc>
      </w:tr>
      <w:tr w:rsidR="00AB271F">
        <w:trPr>
          <w:trHeight w:val="158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Que se responsabiliza de la calidad pedagógica, gráfica y técnica de los contenidos formativos (talleres, </w:t>
            </w:r>
            <w:proofErr w:type="spellStart"/>
            <w:r>
              <w:rPr>
                <w:rFonts w:ascii="Arial" w:eastAsia="Arial" w:hAnsi="Arial" w:cs="Arial"/>
              </w:rPr>
              <w:t>mentorías</w:t>
            </w:r>
            <w:proofErr w:type="spellEnd"/>
            <w:r>
              <w:rPr>
                <w:rFonts w:ascii="Arial" w:eastAsia="Arial" w:hAnsi="Arial" w:cs="Arial"/>
              </w:rPr>
              <w:t>, asesorías) impartidos en el marco del programa, así como de documentar la trazabilidad de los aprendizajes y la participación de los bene</w:t>
            </w:r>
            <w:r>
              <w:rPr>
                <w:rFonts w:ascii="Arial" w:eastAsia="Arial" w:hAnsi="Arial" w:cs="Arial"/>
              </w:rPr>
              <w:t>ficiarios.</w:t>
            </w:r>
          </w:p>
        </w:tc>
      </w:tr>
      <w:tr w:rsidR="00AB271F">
        <w:trPr>
          <w:trHeight w:val="104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Que entregará un informe mensual con el avance por proyecto, indicadores de participación (NPS, IRL, asistencia a sesiones), así como un reporte final consolidado del grupo atendido.</w:t>
            </w:r>
          </w:p>
        </w:tc>
      </w:tr>
      <w:tr w:rsidR="00AB271F">
        <w:trPr>
          <w:trHeight w:val="185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Que destinará un equipo multidisciplinario conformado por: director/a de programa, </w:t>
            </w:r>
            <w:proofErr w:type="spellStart"/>
            <w:r>
              <w:rPr>
                <w:rFonts w:ascii="Arial" w:eastAsia="Arial" w:hAnsi="Arial" w:cs="Arial"/>
              </w:rPr>
              <w:t>project</w:t>
            </w:r>
            <w:proofErr w:type="spellEnd"/>
            <w:r>
              <w:rPr>
                <w:rFonts w:ascii="Arial" w:eastAsia="Arial" w:hAnsi="Arial" w:cs="Arial"/>
              </w:rPr>
              <w:t xml:space="preserve"> manager, mentores y asesores (locales e internacionales), garantizando </w:t>
            </w:r>
            <w:proofErr w:type="spellStart"/>
            <w:r>
              <w:rPr>
                <w:rFonts w:ascii="Arial" w:eastAsia="Arial" w:hAnsi="Arial" w:cs="Arial"/>
              </w:rPr>
              <w:t>expertise</w:t>
            </w:r>
            <w:proofErr w:type="spellEnd"/>
            <w:r>
              <w:rPr>
                <w:rFonts w:ascii="Arial" w:eastAsia="Arial" w:hAnsi="Arial" w:cs="Arial"/>
              </w:rPr>
              <w:t xml:space="preserve"> en financiamiento, tecnología, crecimiento empresarial y lide</w:t>
            </w:r>
            <w:bookmarkStart w:id="3" w:name="_GoBack"/>
            <w:bookmarkEnd w:id="3"/>
            <w:r>
              <w:rPr>
                <w:rFonts w:ascii="Arial" w:eastAsia="Arial" w:hAnsi="Arial" w:cs="Arial"/>
              </w:rPr>
              <w:t>razgo.</w:t>
            </w:r>
          </w:p>
        </w:tc>
      </w:tr>
      <w:tr w:rsidR="00AB271F">
        <w:trPr>
          <w:trHeight w:val="131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Que contará con una persona designada que supervise las </w:t>
            </w:r>
            <w:proofErr w:type="spellStart"/>
            <w:r>
              <w:rPr>
                <w:rFonts w:ascii="Arial" w:eastAsia="Arial" w:hAnsi="Arial" w:cs="Arial"/>
              </w:rPr>
              <w:t>mentorías</w:t>
            </w:r>
            <w:proofErr w:type="spellEnd"/>
            <w:r>
              <w:rPr>
                <w:rFonts w:ascii="Arial" w:eastAsia="Arial" w:hAnsi="Arial" w:cs="Arial"/>
              </w:rPr>
              <w:t xml:space="preserve"> y asesore a los participantes por ruta (tradicional y de alto impacto), documentando avances y derivaciones a redes de apoyo.</w:t>
            </w:r>
          </w:p>
        </w:tc>
      </w:tr>
      <w:tr w:rsidR="00AB271F">
        <w:trPr>
          <w:trHeight w:val="158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AB27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Que brindará atención a usuarios de manera integral duran</w:t>
            </w:r>
            <w:r>
              <w:rPr>
                <w:rFonts w:ascii="Arial" w:eastAsia="Arial" w:hAnsi="Arial" w:cs="Arial"/>
              </w:rPr>
              <w:t xml:space="preserve">te la vigencia del contrato, incluyendo seguimiento a dudas, redirección a especialistas, y respuesta oportuna en canales como correo, WhatsApp, y foro dentro de la plataforma </w:t>
            </w:r>
            <w:proofErr w:type="spellStart"/>
            <w:r>
              <w:rPr>
                <w:rFonts w:ascii="Arial" w:eastAsia="Arial" w:hAnsi="Arial" w:cs="Arial"/>
              </w:rPr>
              <w:t>PLAi</w:t>
            </w:r>
            <w:proofErr w:type="spellEnd"/>
            <w:r>
              <w:rPr>
                <w:rFonts w:ascii="Arial" w:eastAsia="Arial" w:hAnsi="Arial" w:cs="Arial"/>
              </w:rPr>
              <w:t xml:space="preserve"> Innovar.</w:t>
            </w:r>
          </w:p>
        </w:tc>
      </w:tr>
    </w:tbl>
    <w:p w:rsidR="00AB271F" w:rsidRDefault="00AB271F">
      <w:pPr>
        <w:spacing w:after="0"/>
        <w:jc w:val="both"/>
        <w:rPr>
          <w:rFonts w:ascii="Arial" w:eastAsia="Arial" w:hAnsi="Arial" w:cs="Arial"/>
          <w:b/>
          <w:color w:val="000000"/>
        </w:rPr>
      </w:pPr>
    </w:p>
    <w:p w:rsidR="00AB271F" w:rsidRDefault="00AB271F">
      <w:pPr>
        <w:spacing w:after="0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AB271F" w:rsidRDefault="00986A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Especificaciones del Contrato:</w:t>
      </w:r>
    </w:p>
    <w:p w:rsidR="00AB271F" w:rsidRDefault="00AB271F">
      <w:pPr>
        <w:spacing w:after="0"/>
        <w:ind w:left="720"/>
        <w:jc w:val="both"/>
        <w:rPr>
          <w:rFonts w:ascii="Arial" w:eastAsia="Arial" w:hAnsi="Arial" w:cs="Arial"/>
          <w:color w:val="000000"/>
          <w:u w:val="single"/>
        </w:rPr>
      </w:pPr>
    </w:p>
    <w:tbl>
      <w:tblPr>
        <w:tblStyle w:val="af5"/>
        <w:tblW w:w="102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435"/>
        <w:gridCol w:w="4820"/>
      </w:tblGrid>
      <w:tr w:rsidR="00AB271F">
        <w:trPr>
          <w:trHeight w:val="348"/>
          <w:jc w:val="center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Fecha Finalización de contrato (para el caso de servicios): </w:t>
            </w:r>
            <w:r>
              <w:rPr>
                <w:color w:val="000000"/>
              </w:rPr>
              <w:t xml:space="preserve">El contrato puede finalizar en un día </w:t>
            </w:r>
            <w:r>
              <w:t>específico</w:t>
            </w:r>
            <w:r>
              <w:rPr>
                <w:color w:val="000000"/>
              </w:rPr>
              <w:t>, hasta agotar el techo presupuestal o lo que suceda antes. En caso de adquirir bienes se puede eliminar esta fila.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b/>
              </w:rPr>
              <w:t>(X)</w:t>
            </w:r>
            <w:r>
              <w:t xml:space="preserve">12 </w:t>
            </w:r>
            <w:r>
              <w:rPr>
                <w:color w:val="000000"/>
              </w:rPr>
              <w:t>de</w:t>
            </w:r>
            <w:r>
              <w:t xml:space="preserve"> Diciembre </w:t>
            </w:r>
            <w:r>
              <w:rPr>
                <w:color w:val="000000"/>
              </w:rPr>
              <w:t>del 202</w:t>
            </w:r>
            <w:r>
              <w:t>5</w:t>
            </w:r>
          </w:p>
        </w:tc>
      </w:tr>
      <w:tr w:rsidR="00AB271F">
        <w:trPr>
          <w:trHeight w:val="864"/>
          <w:jc w:val="center"/>
        </w:trPr>
        <w:tc>
          <w:tcPr>
            <w:tcW w:w="5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AB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Hasta agotar Techo Presupuestal</w:t>
            </w:r>
          </w:p>
        </w:tc>
      </w:tr>
      <w:tr w:rsidR="00AB271F">
        <w:trPr>
          <w:trHeight w:val="288"/>
          <w:jc w:val="center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71F" w:rsidRDefault="00986A2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de Contrato: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Abierto (   )               |                 Cerrado ( X  )</w:t>
            </w:r>
          </w:p>
        </w:tc>
      </w:tr>
      <w:tr w:rsidR="00AB271F">
        <w:trPr>
          <w:trHeight w:val="288"/>
          <w:jc w:val="center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 de entrega: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Una sola exhibición | </w:t>
            </w:r>
            <w:r>
              <w:t>( X  )</w:t>
            </w:r>
            <w:r>
              <w:rPr>
                <w:color w:val="000000"/>
              </w:rPr>
              <w:t xml:space="preserve"> Por parcialidades </w:t>
            </w:r>
          </w:p>
        </w:tc>
      </w:tr>
      <w:tr w:rsidR="00AB271F">
        <w:trPr>
          <w:trHeight w:val="288"/>
          <w:jc w:val="center"/>
        </w:trPr>
        <w:tc>
          <w:tcPr>
            <w:tcW w:w="5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AB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jc w:val="both"/>
              <w:rPr>
                <w:color w:val="000000"/>
              </w:rPr>
            </w:pPr>
            <w:r>
              <w:t xml:space="preserve">7 reportes mensuales y un reporte final entregado en las instalaciones del Consejo Estatal de Ciencia y Tecnología de Jalisco ubicado en Calle </w:t>
            </w:r>
            <w:proofErr w:type="spellStart"/>
            <w:r>
              <w:t>VIdrio</w:t>
            </w:r>
            <w:proofErr w:type="spellEnd"/>
            <w:r>
              <w:t xml:space="preserve"> #2398, Arcos, Código Postal 44130 Guadalajara, Jal.</w:t>
            </w:r>
          </w:p>
        </w:tc>
      </w:tr>
      <w:tr w:rsidR="00AB271F">
        <w:trPr>
          <w:trHeight w:val="288"/>
          <w:jc w:val="center"/>
        </w:trPr>
        <w:tc>
          <w:tcPr>
            <w:tcW w:w="5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Tipo de Adjudicación: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71F" w:rsidRDefault="00986A2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b/>
              </w:rPr>
              <w:t xml:space="preserve">(X) </w:t>
            </w:r>
            <w:r>
              <w:rPr>
                <w:color w:val="000000"/>
              </w:rPr>
              <w:t xml:space="preserve">A un Solo Proveedor |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>Por</w:t>
            </w:r>
            <w:r>
              <w:rPr>
                <w:color w:val="000000"/>
              </w:rPr>
              <w:t xml:space="preserve"> Partida   |</w:t>
            </w:r>
          </w:p>
          <w:p w:rsidR="00AB271F" w:rsidRDefault="00986A2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Abastecimiento </w:t>
            </w:r>
            <w:r>
              <w:t>Simultáneo</w:t>
            </w:r>
          </w:p>
        </w:tc>
      </w:tr>
    </w:tbl>
    <w:p w:rsidR="00AB271F" w:rsidRDefault="00AB271F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B271F" w:rsidRDefault="00986A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Catálogos de bienes </w:t>
      </w:r>
    </w:p>
    <w:p w:rsidR="00AB271F" w:rsidRDefault="00AB271F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f6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55"/>
        <w:gridCol w:w="1610"/>
        <w:gridCol w:w="3134"/>
        <w:gridCol w:w="1079"/>
        <w:gridCol w:w="1160"/>
      </w:tblGrid>
      <w:tr w:rsidR="00AB271F">
        <w:trPr>
          <w:trHeight w:val="10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de concepto (consecutivo)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Partida (Conforme a sistema)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Descripción del producto o servicio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Medida</w:t>
            </w:r>
          </w:p>
        </w:tc>
      </w:tr>
      <w:tr w:rsidR="00AB271F">
        <w:trPr>
          <w:trHeight w:val="10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3831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986A24">
            <w:pPr>
              <w:spacing w:after="0" w:line="259" w:lineRule="auto"/>
              <w:jc w:val="both"/>
              <w:rPr>
                <w:rFonts w:ascii="Arial" w:eastAsia="Arial" w:hAnsi="Arial" w:cs="Arial"/>
              </w:rPr>
            </w:pPr>
            <w:bookmarkStart w:id="4" w:name="_heading=h.6igke1xcez31" w:colFirst="0" w:colLast="0"/>
            <w:bookmarkEnd w:id="4"/>
            <w:r>
              <w:rPr>
                <w:rFonts w:ascii="Arial" w:eastAsia="Arial" w:hAnsi="Arial" w:cs="Arial"/>
              </w:rPr>
              <w:t xml:space="preserve">Servicio integral de incubación y aceleración emprendedora (capacitación, </w:t>
            </w:r>
            <w:proofErr w:type="spellStart"/>
            <w:r>
              <w:rPr>
                <w:rFonts w:ascii="Arial" w:eastAsia="Arial" w:hAnsi="Arial" w:cs="Arial"/>
              </w:rPr>
              <w:t>mentorías</w:t>
            </w:r>
            <w:proofErr w:type="spellEnd"/>
            <w:r>
              <w:rPr>
                <w:rFonts w:ascii="Arial" w:eastAsia="Arial" w:hAnsi="Arial" w:cs="Arial"/>
              </w:rPr>
              <w:t xml:space="preserve"> y asesorías) “</w:t>
            </w:r>
            <w:proofErr w:type="spellStart"/>
            <w:r>
              <w:rPr>
                <w:rFonts w:ascii="Arial" w:eastAsia="Arial" w:hAnsi="Arial" w:cs="Arial"/>
              </w:rPr>
              <w:t>PLAi</w:t>
            </w:r>
            <w:proofErr w:type="spellEnd"/>
            <w:r>
              <w:rPr>
                <w:rFonts w:ascii="Arial" w:eastAsia="Arial" w:hAnsi="Arial" w:cs="Arial"/>
              </w:rPr>
              <w:t> Innovar </w:t>
            </w:r>
            <w:proofErr w:type="spellStart"/>
            <w:r>
              <w:rPr>
                <w:rFonts w:ascii="Arial" w:eastAsia="Arial" w:hAnsi="Arial" w:cs="Arial"/>
              </w:rPr>
              <w:t>by</w:t>
            </w:r>
            <w:proofErr w:type="spellEnd"/>
            <w:r>
              <w:rPr>
                <w:rFonts w:ascii="Arial" w:eastAsia="Arial" w:hAnsi="Arial" w:cs="Arial"/>
              </w:rPr>
              <w:t> </w:t>
            </w:r>
            <w:proofErr w:type="spellStart"/>
            <w:r>
              <w:rPr>
                <w:rFonts w:ascii="Arial" w:eastAsia="Arial" w:hAnsi="Arial" w:cs="Arial"/>
              </w:rPr>
              <w:t>REDi</w:t>
            </w:r>
            <w:proofErr w:type="spellEnd"/>
            <w:r>
              <w:rPr>
                <w:rFonts w:ascii="Arial" w:eastAsia="Arial" w:hAnsi="Arial" w:cs="Arial"/>
              </w:rPr>
              <w:t>”.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71F" w:rsidRDefault="00986A24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Servicio</w:t>
            </w:r>
          </w:p>
        </w:tc>
      </w:tr>
    </w:tbl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:rsidR="00AB271F" w:rsidRDefault="00AB271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AB271F" w:rsidRDefault="00986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Criterios de evaluación: </w:t>
      </w:r>
    </w:p>
    <w:p w:rsidR="00AB271F" w:rsidRDefault="00986A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conformidad con los artículos 66, 67 </w:t>
      </w:r>
      <w:r>
        <w:rPr>
          <w:rFonts w:ascii="Arial" w:eastAsia="Arial" w:hAnsi="Arial" w:cs="Arial"/>
        </w:rPr>
        <w:t>de la ley,</w:t>
      </w:r>
      <w:r>
        <w:rPr>
          <w:rFonts w:ascii="Arial" w:eastAsia="Arial" w:hAnsi="Arial" w:cs="Arial"/>
          <w:color w:val="000000"/>
        </w:rPr>
        <w:t xml:space="preserve"> el método de evaluación utilizado para evaluar las proposiciones será mediante evaluación binaria de acuerdo a lo establecido en la Ley.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AB271F" w:rsidRDefault="00986A24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Atentamente.</w:t>
      </w:r>
    </w:p>
    <w:p w:rsidR="00AB271F" w:rsidRDefault="00986A24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Guadalajara, Jalisco, a 17 de mayo del 2025</w:t>
      </w:r>
    </w:p>
    <w:p w:rsidR="00AB271F" w:rsidRDefault="00AB271F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p w:rsidR="00AB271F" w:rsidRDefault="00AB271F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p w:rsidR="00AB271F" w:rsidRDefault="00AB271F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p w:rsidR="00AB271F" w:rsidRDefault="00AB271F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tbl>
      <w:tblPr>
        <w:tblStyle w:val="af7"/>
        <w:tblpPr w:leftFromText="141" w:rightFromText="141" w:vertAnchor="text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AB271F">
        <w:trPr>
          <w:trHeight w:val="699"/>
        </w:trPr>
        <w:tc>
          <w:tcPr>
            <w:tcW w:w="8838" w:type="dxa"/>
          </w:tcPr>
          <w:p w:rsidR="00AB271F" w:rsidRDefault="00986A2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Valle Milanés</w:t>
            </w:r>
          </w:p>
          <w:p w:rsidR="00AB271F" w:rsidRDefault="00986A2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Director de </w:t>
            </w:r>
            <w:proofErr w:type="spellStart"/>
            <w:r>
              <w:rPr>
                <w:rFonts w:ascii="Arial" w:eastAsia="Arial" w:hAnsi="Arial" w:cs="Arial"/>
              </w:rPr>
              <w:t>Estratégia</w:t>
            </w:r>
            <w:proofErr w:type="spellEnd"/>
            <w:r>
              <w:rPr>
                <w:rFonts w:ascii="Arial" w:eastAsia="Arial" w:hAnsi="Arial" w:cs="Arial"/>
              </w:rPr>
              <w:t xml:space="preserve"> y Coordinació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AB271F">
        <w:trPr>
          <w:trHeight w:val="220"/>
        </w:trPr>
        <w:tc>
          <w:tcPr>
            <w:tcW w:w="8838" w:type="dxa"/>
          </w:tcPr>
          <w:p w:rsidR="00AB271F" w:rsidRDefault="00986A2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Titular del área requirente y responsable de la elaboración del estudio de mercado (área técnica)</w:t>
            </w:r>
          </w:p>
        </w:tc>
      </w:tr>
    </w:tbl>
    <w:p w:rsidR="00AB271F" w:rsidRDefault="00AB271F">
      <w:pPr>
        <w:spacing w:after="0"/>
        <w:rPr>
          <w:rFonts w:ascii="Arial" w:eastAsia="Arial" w:hAnsi="Arial" w:cs="Arial"/>
        </w:rPr>
      </w:pPr>
    </w:p>
    <w:p w:rsidR="00AB271F" w:rsidRDefault="00AB271F">
      <w:pPr>
        <w:spacing w:after="0"/>
        <w:rPr>
          <w:rFonts w:ascii="Arial" w:eastAsia="Arial" w:hAnsi="Arial" w:cs="Arial"/>
        </w:rPr>
      </w:pPr>
    </w:p>
    <w:p w:rsidR="00AB271F" w:rsidRDefault="00986A24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***FIN DEL ANEXO 1***</w:t>
      </w:r>
    </w:p>
    <w:sectPr w:rsidR="00AB271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4280"/>
    <w:multiLevelType w:val="multilevel"/>
    <w:tmpl w:val="E49E3BFA"/>
    <w:lvl w:ilvl="0">
      <w:start w:val="7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06887"/>
    <w:multiLevelType w:val="multilevel"/>
    <w:tmpl w:val="A6C41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F7395B"/>
    <w:multiLevelType w:val="multilevel"/>
    <w:tmpl w:val="1F4045F6"/>
    <w:lvl w:ilvl="0">
      <w:start w:val="1"/>
      <w:numFmt w:val="decimal"/>
      <w:lvlText w:val="%1."/>
      <w:lvlJc w:val="left"/>
      <w:pPr>
        <w:ind w:left="720" w:hanging="720"/>
      </w:pPr>
      <w:rPr>
        <w:shd w:val="clear" w:color="auto" w:fill="auto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A182A"/>
    <w:multiLevelType w:val="multilevel"/>
    <w:tmpl w:val="79DA0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772AFF"/>
    <w:multiLevelType w:val="multilevel"/>
    <w:tmpl w:val="7F569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EA44B5"/>
    <w:multiLevelType w:val="multilevel"/>
    <w:tmpl w:val="44585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6775D7"/>
    <w:multiLevelType w:val="multilevel"/>
    <w:tmpl w:val="24D085DC"/>
    <w:lvl w:ilvl="0">
      <w:start w:val="6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47696"/>
    <w:multiLevelType w:val="multilevel"/>
    <w:tmpl w:val="49FA7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F35B07"/>
    <w:multiLevelType w:val="multilevel"/>
    <w:tmpl w:val="C27E0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81095A"/>
    <w:multiLevelType w:val="multilevel"/>
    <w:tmpl w:val="DCC2C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4D4CCB"/>
    <w:multiLevelType w:val="multilevel"/>
    <w:tmpl w:val="A6AA7A22"/>
    <w:lvl w:ilvl="0">
      <w:start w:val="8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E4BEB"/>
    <w:multiLevelType w:val="multilevel"/>
    <w:tmpl w:val="69A07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F"/>
    <w:rsid w:val="00986A24"/>
    <w:rsid w:val="00A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C1DE6-6725-4FAA-85B7-88F0523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2B1A56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2B1A5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E05"/>
    <w:pPr>
      <w:ind w:left="720"/>
      <w:contextualSpacing/>
    </w:p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n9f4VNYw/rvqU+YJVJI8m2lZA==">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Morfin Contreras Sarahi</dc:creator>
  <cp:lastModifiedBy>David Valle Milanés</cp:lastModifiedBy>
  <cp:revision>2</cp:revision>
  <cp:lastPrinted>2025-05-22T15:55:00Z</cp:lastPrinted>
  <dcterms:created xsi:type="dcterms:W3CDTF">2025-01-30T22:21:00Z</dcterms:created>
  <dcterms:modified xsi:type="dcterms:W3CDTF">2025-05-22T15:55:00Z</dcterms:modified>
</cp:coreProperties>
</file>