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38" w:rsidRDefault="00771C98">
      <w:pPr>
        <w:widowControl w:val="0"/>
        <w:spacing w:before="720"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ANEXO 1 (TÉCNICO)</w:t>
      </w:r>
    </w:p>
    <w:p w:rsidR="00D24D38" w:rsidRDefault="00D24D38">
      <w:pPr>
        <w:widowControl w:val="0"/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D24D38" w:rsidRDefault="00D24D38">
      <w:pPr>
        <w:widowControl w:val="0"/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D24D38" w:rsidRDefault="00771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Dependencia solicitante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t xml:space="preserve"> Consejo Estatal de Ciencia y Tecnología de Jalisco  </w:t>
      </w:r>
    </w:p>
    <w:p w:rsidR="00D24D38" w:rsidRDefault="00D24D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D24D38" w:rsidRDefault="00771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Unidad Ejecutora del Gasto:</w:t>
      </w:r>
      <w:r>
        <w:rPr>
          <w:rFonts w:ascii="Arial" w:eastAsia="Arial" w:hAnsi="Arial" w:cs="Arial"/>
          <w:color w:val="000000"/>
        </w:rPr>
        <w:t xml:space="preserve"> Dirección de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>strategia y Coordinación</w:t>
      </w:r>
    </w:p>
    <w:p w:rsidR="00D24D38" w:rsidRDefault="00771C9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</w:p>
    <w:p w:rsidR="00D24D38" w:rsidRDefault="00771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Objetivo del bien o servicio</w:t>
      </w:r>
      <w:r>
        <w:rPr>
          <w:rFonts w:ascii="Arial" w:eastAsia="Arial" w:hAnsi="Arial" w:cs="Arial"/>
        </w:rPr>
        <w:t xml:space="preserve">: </w:t>
      </w:r>
    </w:p>
    <w:p w:rsidR="00D24D38" w:rsidRDefault="00771C9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Diseñar e implementar una estrategia integral de comunicación, contenido y gestión digital para la Red de Centros de </w:t>
      </w:r>
      <w:r w:rsidR="00643602">
        <w:rPr>
          <w:rFonts w:ascii="Arial" w:eastAsia="Arial" w:hAnsi="Arial" w:cs="Arial"/>
        </w:rPr>
        <w:t>Innovación</w:t>
      </w:r>
      <w:r>
        <w:rPr>
          <w:rFonts w:ascii="Arial" w:eastAsia="Arial" w:hAnsi="Arial" w:cs="Arial"/>
        </w:rPr>
        <w:t xml:space="preserve"> y Emprendimiento, (</w:t>
      </w:r>
      <w:proofErr w:type="spellStart"/>
      <w:r>
        <w:rPr>
          <w:rFonts w:ascii="Arial" w:eastAsia="Arial" w:hAnsi="Arial" w:cs="Arial"/>
        </w:rPr>
        <w:t>REDi</w:t>
      </w:r>
      <w:proofErr w:type="spellEnd"/>
      <w:r>
        <w:rPr>
          <w:rFonts w:ascii="Arial" w:eastAsia="Arial" w:hAnsi="Arial" w:cs="Arial"/>
        </w:rPr>
        <w:t>), que fortalezca su posicionamiento regional, visibilice su impacto y potencie la vinculación con actore</w:t>
      </w:r>
      <w:r>
        <w:rPr>
          <w:rFonts w:ascii="Arial" w:eastAsia="Arial" w:hAnsi="Arial" w:cs="Arial"/>
        </w:rPr>
        <w:t xml:space="preserve">s clave del ecosistema (emprendedores, aliados, mentores, </w:t>
      </w:r>
      <w:proofErr w:type="spellStart"/>
      <w:r>
        <w:rPr>
          <w:rFonts w:ascii="Arial" w:eastAsia="Arial" w:hAnsi="Arial" w:cs="Arial"/>
        </w:rPr>
        <w:t>MiPyMEs</w:t>
      </w:r>
      <w:proofErr w:type="spellEnd"/>
      <w:r>
        <w:rPr>
          <w:rFonts w:ascii="Arial" w:eastAsia="Arial" w:hAnsi="Arial" w:cs="Arial"/>
        </w:rPr>
        <w:t>, universidades, inversionistas y sociedad civil).</w:t>
      </w:r>
    </w:p>
    <w:p w:rsidR="00D24D38" w:rsidRDefault="00D24D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highlight w:val="yellow"/>
        </w:rPr>
      </w:pPr>
    </w:p>
    <w:p w:rsidR="00D24D38" w:rsidRDefault="00771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Objeto </w:t>
      </w:r>
      <w:r>
        <w:rPr>
          <w:rFonts w:ascii="Arial" w:eastAsia="Arial" w:hAnsi="Arial" w:cs="Arial"/>
          <w:b/>
        </w:rPr>
        <w:t>del bien o servicio: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D24D38" w:rsidRDefault="00771C9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Manejo de las redes sociale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</w:rPr>
        <w:t xml:space="preserve">itio web </w:t>
      </w:r>
      <w:r>
        <w:rPr>
          <w:rFonts w:ascii="Arial" w:eastAsia="Arial" w:hAnsi="Arial" w:cs="Arial"/>
          <w:color w:val="000000"/>
        </w:rPr>
        <w:t>y la estrategia digital para la Red de Centros de Innovación del Estad</w:t>
      </w:r>
      <w:r>
        <w:rPr>
          <w:rFonts w:ascii="Arial" w:eastAsia="Arial" w:hAnsi="Arial" w:cs="Arial"/>
          <w:color w:val="000000"/>
        </w:rPr>
        <w:t>o de Jalisco.</w:t>
      </w:r>
    </w:p>
    <w:p w:rsidR="00D24D38" w:rsidRDefault="00D24D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D24D38" w:rsidRDefault="00771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Especificaciones técnicas mínimas requeridas</w:t>
      </w:r>
    </w:p>
    <w:p w:rsidR="00D24D38" w:rsidRDefault="00D24D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</w:rPr>
      </w:pPr>
    </w:p>
    <w:p w:rsidR="00D24D38" w:rsidRDefault="00771C9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Obligatoriedad de la Visita de Campo</w:t>
      </w:r>
    </w:p>
    <w:p w:rsidR="00D24D38" w:rsidRDefault="00D24D38">
      <w:pPr>
        <w:spacing w:after="0"/>
        <w:jc w:val="both"/>
        <w:rPr>
          <w:rFonts w:ascii="Arial" w:eastAsia="Arial" w:hAnsi="Arial" w:cs="Arial"/>
          <w:b/>
          <w:highlight w:val="yellow"/>
        </w:rPr>
      </w:pPr>
    </w:p>
    <w:tbl>
      <w:tblPr>
        <w:tblStyle w:val="af1"/>
        <w:tblW w:w="8550" w:type="dxa"/>
        <w:tblInd w:w="821" w:type="dxa"/>
        <w:tblLayout w:type="fixed"/>
        <w:tblLook w:val="0400" w:firstRow="0" w:lastRow="0" w:firstColumn="0" w:lastColumn="0" w:noHBand="0" w:noVBand="1"/>
      </w:tblPr>
      <w:tblGrid>
        <w:gridCol w:w="1515"/>
        <w:gridCol w:w="2332"/>
        <w:gridCol w:w="4703"/>
      </w:tblGrid>
      <w:tr w:rsidR="00D24D38">
        <w:trPr>
          <w:trHeight w:val="320"/>
        </w:trPr>
        <w:tc>
          <w:tcPr>
            <w:tcW w:w="8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EAAAA"/>
            <w:vAlign w:val="bottom"/>
          </w:tcPr>
          <w:p w:rsidR="00D24D38" w:rsidRDefault="00771C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Visita de Campo</w:t>
            </w:r>
          </w:p>
        </w:tc>
      </w:tr>
      <w:tr w:rsidR="00D24D38">
        <w:trPr>
          <w:trHeight w:val="34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vAlign w:val="bottom"/>
          </w:tcPr>
          <w:p w:rsidR="00D24D38" w:rsidRDefault="00771C9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Obligatorio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D24D38" w:rsidRDefault="00771C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(  )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24D38" w:rsidRDefault="00771C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( X)</w:t>
            </w:r>
          </w:p>
        </w:tc>
      </w:tr>
    </w:tbl>
    <w:p w:rsidR="00D24D38" w:rsidRDefault="00D24D38">
      <w:pPr>
        <w:shd w:val="clear" w:color="auto" w:fill="FFFFFF"/>
        <w:spacing w:after="0"/>
        <w:jc w:val="both"/>
        <w:rPr>
          <w:rFonts w:ascii="Arial" w:eastAsia="Arial" w:hAnsi="Arial" w:cs="Arial"/>
        </w:rPr>
      </w:pPr>
    </w:p>
    <w:p w:rsidR="00D24D38" w:rsidRDefault="00771C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     </w:t>
      </w:r>
    </w:p>
    <w:p w:rsidR="00D24D38" w:rsidRDefault="00771C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</w:t>
      </w:r>
      <w:r>
        <w:rPr>
          <w:rFonts w:ascii="Arial" w:eastAsia="Arial" w:hAnsi="Arial" w:cs="Arial"/>
          <w:b/>
          <w:color w:val="000000"/>
        </w:rPr>
        <w:t xml:space="preserve">     5.2 Obligatoriedad de las Muestras </w:t>
      </w:r>
      <w:r>
        <w:rPr>
          <w:rFonts w:ascii="Arial" w:eastAsia="Arial" w:hAnsi="Arial" w:cs="Arial"/>
          <w:b/>
        </w:rPr>
        <w:t>Físicas</w:t>
      </w:r>
    </w:p>
    <w:p w:rsidR="00D24D38" w:rsidRDefault="00D24D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</w:rPr>
      </w:pPr>
    </w:p>
    <w:tbl>
      <w:tblPr>
        <w:tblStyle w:val="af2"/>
        <w:tblW w:w="8550" w:type="dxa"/>
        <w:tblInd w:w="821" w:type="dxa"/>
        <w:tblLayout w:type="fixed"/>
        <w:tblLook w:val="0400" w:firstRow="0" w:lastRow="0" w:firstColumn="0" w:lastColumn="0" w:noHBand="0" w:noVBand="1"/>
      </w:tblPr>
      <w:tblGrid>
        <w:gridCol w:w="1515"/>
        <w:gridCol w:w="2332"/>
        <w:gridCol w:w="4703"/>
      </w:tblGrid>
      <w:tr w:rsidR="00D24D38">
        <w:trPr>
          <w:trHeight w:val="320"/>
        </w:trPr>
        <w:tc>
          <w:tcPr>
            <w:tcW w:w="8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EAAAA"/>
            <w:vAlign w:val="bottom"/>
          </w:tcPr>
          <w:p w:rsidR="00D24D38" w:rsidRDefault="00771C9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Muestras </w:t>
            </w:r>
            <w:r>
              <w:rPr>
                <w:b/>
                <w:sz w:val="24"/>
                <w:szCs w:val="24"/>
              </w:rPr>
              <w:t>Físicas</w:t>
            </w:r>
          </w:p>
        </w:tc>
      </w:tr>
      <w:tr w:rsidR="00D24D38">
        <w:trPr>
          <w:trHeight w:val="34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vAlign w:val="bottom"/>
          </w:tcPr>
          <w:p w:rsidR="00D24D38" w:rsidRDefault="00771C9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Obligatorio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D24D38" w:rsidRDefault="00771C9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 (  )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24D38" w:rsidRDefault="00771C9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( X)</w:t>
            </w:r>
          </w:p>
        </w:tc>
      </w:tr>
    </w:tbl>
    <w:p w:rsidR="00D24D38" w:rsidRDefault="00D24D38">
      <w:pPr>
        <w:shd w:val="clear" w:color="auto" w:fill="FFFFFF"/>
        <w:spacing w:after="0"/>
        <w:ind w:left="720"/>
        <w:jc w:val="both"/>
        <w:rPr>
          <w:rFonts w:ascii="Arial" w:eastAsia="Arial" w:hAnsi="Arial" w:cs="Arial"/>
          <w:b/>
          <w:color w:val="000000"/>
          <w:highlight w:val="yellow"/>
        </w:rPr>
      </w:pPr>
    </w:p>
    <w:p w:rsidR="00D24D38" w:rsidRDefault="00D24D38">
      <w:pPr>
        <w:shd w:val="clear" w:color="auto" w:fill="FFFFFF"/>
        <w:spacing w:after="0"/>
        <w:ind w:left="720"/>
        <w:jc w:val="both"/>
        <w:rPr>
          <w:rFonts w:ascii="Arial" w:eastAsia="Arial" w:hAnsi="Arial" w:cs="Arial"/>
          <w:b/>
          <w:color w:val="000000"/>
          <w:highlight w:val="yellow"/>
        </w:rPr>
      </w:pPr>
    </w:p>
    <w:p w:rsidR="00D24D38" w:rsidRDefault="00771C9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Especificaciones Técnicas mínimas</w:t>
      </w:r>
    </w:p>
    <w:p w:rsidR="00D24D38" w:rsidRDefault="00D24D38">
      <w:pPr>
        <w:spacing w:after="0"/>
        <w:jc w:val="both"/>
        <w:rPr>
          <w:rFonts w:ascii="Arial" w:eastAsia="Arial" w:hAnsi="Arial" w:cs="Arial"/>
          <w:b/>
          <w:highlight w:val="yellow"/>
        </w:rPr>
      </w:pPr>
    </w:p>
    <w:p w:rsidR="00D24D38" w:rsidRDefault="00771C98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Partida 1: </w:t>
      </w:r>
    </w:p>
    <w:p w:rsidR="00D24D38" w:rsidRDefault="00D24D38">
      <w:pPr>
        <w:spacing w:after="0"/>
        <w:ind w:left="72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:rsidR="00D24D38" w:rsidRDefault="00771C9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808080"/>
        </w:rPr>
        <w:t xml:space="preserve">       </w:t>
      </w:r>
      <w:r>
        <w:rPr>
          <w:rFonts w:ascii="Arial" w:eastAsia="Arial" w:hAnsi="Arial" w:cs="Arial"/>
        </w:rPr>
        <w:t xml:space="preserve">1. Diseño Estratégico de Comunicación </w:t>
      </w:r>
      <w:proofErr w:type="spellStart"/>
      <w:r>
        <w:rPr>
          <w:rFonts w:ascii="Arial" w:eastAsia="Arial" w:hAnsi="Arial" w:cs="Arial"/>
        </w:rPr>
        <w:t>REDi</w:t>
      </w:r>
      <w:proofErr w:type="spellEnd"/>
    </w:p>
    <w:p w:rsidR="00D24D38" w:rsidRDefault="00771C98">
      <w:pPr>
        <w:numPr>
          <w:ilvl w:val="0"/>
          <w:numId w:val="10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Elaboración de un Plan Estratégico de Comunicación específico para </w:t>
      </w:r>
      <w:proofErr w:type="spellStart"/>
      <w:r>
        <w:rPr>
          <w:rFonts w:ascii="Arial" w:eastAsia="Arial" w:hAnsi="Arial" w:cs="Arial"/>
        </w:rPr>
        <w:t>REDi</w:t>
      </w:r>
      <w:proofErr w:type="spellEnd"/>
      <w:r>
        <w:rPr>
          <w:rFonts w:ascii="Arial" w:eastAsia="Arial" w:hAnsi="Arial" w:cs="Arial"/>
        </w:rPr>
        <w:t xml:space="preserve"> (alineado a metas </w:t>
      </w:r>
      <w:proofErr w:type="spellStart"/>
      <w:r>
        <w:rPr>
          <w:rFonts w:ascii="Arial" w:eastAsia="Arial" w:hAnsi="Arial" w:cs="Arial"/>
        </w:rPr>
        <w:t>SICyT</w:t>
      </w:r>
      <w:proofErr w:type="spellEnd"/>
      <w:r>
        <w:rPr>
          <w:rFonts w:ascii="Arial" w:eastAsia="Arial" w:hAnsi="Arial" w:cs="Arial"/>
        </w:rPr>
        <w:t xml:space="preserve"> 2025). </w:t>
      </w:r>
    </w:p>
    <w:p w:rsidR="00D24D38" w:rsidRDefault="00771C98">
      <w:pPr>
        <w:numPr>
          <w:ilvl w:val="0"/>
          <w:numId w:val="10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Definición de objetivos segmentados por públicos clave: emprendedores, </w:t>
      </w:r>
      <w:proofErr w:type="spellStart"/>
      <w:r>
        <w:rPr>
          <w:rFonts w:ascii="Arial" w:eastAsia="Arial" w:hAnsi="Arial" w:cs="Arial"/>
        </w:rPr>
        <w:t>MiPyMEs</w:t>
      </w:r>
      <w:proofErr w:type="spellEnd"/>
      <w:r>
        <w:rPr>
          <w:rFonts w:ascii="Arial" w:eastAsia="Arial" w:hAnsi="Arial" w:cs="Arial"/>
        </w:rPr>
        <w:t xml:space="preserve">, mentores, aliados estratégicos, etc. </w:t>
      </w:r>
    </w:p>
    <w:p w:rsidR="00D24D38" w:rsidRDefault="00771C98">
      <w:pPr>
        <w:numPr>
          <w:ilvl w:val="0"/>
          <w:numId w:val="10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Creación de narrativas territoriales diferenciadas para cada uno de los centros de </w:t>
      </w:r>
      <w:proofErr w:type="spellStart"/>
      <w:r>
        <w:rPr>
          <w:rFonts w:ascii="Arial" w:eastAsia="Arial" w:hAnsi="Arial" w:cs="Arial"/>
        </w:rPr>
        <w:t>REDi</w:t>
      </w:r>
      <w:proofErr w:type="spellEnd"/>
      <w:r>
        <w:rPr>
          <w:rFonts w:ascii="Arial" w:eastAsia="Arial" w:hAnsi="Arial" w:cs="Arial"/>
        </w:rPr>
        <w:t xml:space="preserve">. </w:t>
      </w:r>
    </w:p>
    <w:p w:rsidR="00D24D38" w:rsidRDefault="00771C98">
      <w:pPr>
        <w:numPr>
          <w:ilvl w:val="0"/>
          <w:numId w:val="10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Diseño de mensajes clave, líneas gráficas y </w:t>
      </w:r>
      <w:proofErr w:type="spellStart"/>
      <w:r>
        <w:rPr>
          <w:rFonts w:ascii="Arial" w:eastAsia="Arial" w:hAnsi="Arial" w:cs="Arial"/>
        </w:rPr>
        <w:t>stor</w:t>
      </w:r>
      <w:r>
        <w:rPr>
          <w:rFonts w:ascii="Arial" w:eastAsia="Arial" w:hAnsi="Arial" w:cs="Arial"/>
        </w:rPr>
        <w:t>ytelling</w:t>
      </w:r>
      <w:proofErr w:type="spellEnd"/>
      <w:r>
        <w:rPr>
          <w:rFonts w:ascii="Arial" w:eastAsia="Arial" w:hAnsi="Arial" w:cs="Arial"/>
        </w:rPr>
        <w:t xml:space="preserve"> regional con enfoque en impacto social y tecnológico. </w:t>
      </w:r>
    </w:p>
    <w:p w:rsidR="00D24D38" w:rsidRDefault="00771C9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2. Manual de Identidad </w:t>
      </w:r>
      <w:proofErr w:type="spellStart"/>
      <w:r>
        <w:rPr>
          <w:rFonts w:ascii="Arial" w:eastAsia="Arial" w:hAnsi="Arial" w:cs="Arial"/>
        </w:rPr>
        <w:t>REDi</w:t>
      </w:r>
      <w:proofErr w:type="spellEnd"/>
      <w:r>
        <w:rPr>
          <w:rFonts w:ascii="Arial" w:eastAsia="Arial" w:hAnsi="Arial" w:cs="Arial"/>
        </w:rPr>
        <w:t xml:space="preserve"> </w:t>
      </w:r>
    </w:p>
    <w:p w:rsidR="00D24D38" w:rsidRDefault="00771C98">
      <w:pPr>
        <w:numPr>
          <w:ilvl w:val="0"/>
          <w:numId w:val="11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Guía visual homologada para cada uno de los centros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REDi</w:t>
      </w:r>
      <w:proofErr w:type="spellEnd"/>
      <w:r>
        <w:rPr>
          <w:rFonts w:ascii="Arial" w:eastAsia="Arial" w:hAnsi="Arial" w:cs="Arial"/>
        </w:rPr>
        <w:t xml:space="preserve">. </w:t>
      </w:r>
    </w:p>
    <w:p w:rsidR="00D24D38" w:rsidRDefault="00771C98">
      <w:pPr>
        <w:numPr>
          <w:ilvl w:val="0"/>
          <w:numId w:val="11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Aplicaciones de marca para redes sociales, eventos y contenidos audiovisuales. </w:t>
      </w:r>
    </w:p>
    <w:p w:rsidR="00D24D38" w:rsidRDefault="00771C98">
      <w:pPr>
        <w:numPr>
          <w:ilvl w:val="0"/>
          <w:numId w:val="11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Entrega de </w:t>
      </w:r>
      <w:proofErr w:type="spellStart"/>
      <w:r>
        <w:rPr>
          <w:rFonts w:ascii="Arial" w:eastAsia="Arial" w:hAnsi="Arial" w:cs="Arial"/>
        </w:rPr>
        <w:t>layouts</w:t>
      </w:r>
      <w:proofErr w:type="spellEnd"/>
      <w:r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 xml:space="preserve"> plantillas editables (</w:t>
      </w:r>
      <w:proofErr w:type="spellStart"/>
      <w:r>
        <w:rPr>
          <w:rFonts w:ascii="Arial" w:eastAsia="Arial" w:hAnsi="Arial" w:cs="Arial"/>
        </w:rPr>
        <w:t>Canva</w:t>
      </w:r>
      <w:proofErr w:type="spellEnd"/>
      <w:r>
        <w:rPr>
          <w:rFonts w:ascii="Arial" w:eastAsia="Arial" w:hAnsi="Arial" w:cs="Arial"/>
        </w:rPr>
        <w:t xml:space="preserve">). </w:t>
      </w:r>
    </w:p>
    <w:p w:rsidR="00D24D38" w:rsidRDefault="00D24D38">
      <w:pPr>
        <w:spacing w:after="0"/>
        <w:rPr>
          <w:rFonts w:ascii="Arial" w:eastAsia="Arial" w:hAnsi="Arial" w:cs="Arial"/>
        </w:rPr>
      </w:pPr>
    </w:p>
    <w:p w:rsidR="00D24D38" w:rsidRDefault="00771C9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3. Producción y Gestión de Contenido Digital:</w:t>
      </w:r>
    </w:p>
    <w:p w:rsidR="00D24D38" w:rsidRDefault="00771C98">
      <w:pPr>
        <w:numPr>
          <w:ilvl w:val="0"/>
          <w:numId w:val="12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 contenidos gráficos estáticos mensuales. </w:t>
      </w:r>
    </w:p>
    <w:p w:rsidR="00D24D38" w:rsidRDefault="00771C98">
      <w:pPr>
        <w:numPr>
          <w:ilvl w:val="0"/>
          <w:numId w:val="12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 contenidos tipo </w:t>
      </w:r>
      <w:proofErr w:type="spellStart"/>
      <w:r>
        <w:rPr>
          <w:rFonts w:ascii="Arial" w:eastAsia="Arial" w:hAnsi="Arial" w:cs="Arial"/>
        </w:rPr>
        <w:t>reel</w:t>
      </w:r>
      <w:proofErr w:type="spellEnd"/>
      <w:r>
        <w:rPr>
          <w:rFonts w:ascii="Arial" w:eastAsia="Arial" w:hAnsi="Arial" w:cs="Arial"/>
        </w:rPr>
        <w:t xml:space="preserve"> (eventos, historias de éxito, cápsulas), mensual.</w:t>
      </w:r>
    </w:p>
    <w:p w:rsidR="00D24D38" w:rsidRDefault="00771C98">
      <w:pPr>
        <w:numPr>
          <w:ilvl w:val="0"/>
          <w:numId w:val="12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Redacción estratégica de copies alineados al enfoque del Sistema Estatal de Emprendimiento. </w:t>
      </w:r>
    </w:p>
    <w:p w:rsidR="00D24D38" w:rsidRDefault="00771C98">
      <w:pPr>
        <w:numPr>
          <w:ilvl w:val="0"/>
          <w:numId w:val="12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Parrilla editorial mensual. </w:t>
      </w:r>
    </w:p>
    <w:p w:rsidR="00D24D38" w:rsidRDefault="00771C98">
      <w:pPr>
        <w:numPr>
          <w:ilvl w:val="0"/>
          <w:numId w:val="12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Programación automatizada del contenido en plataformas digitales. </w:t>
      </w:r>
    </w:p>
    <w:p w:rsidR="00D24D38" w:rsidRDefault="00771C98">
      <w:pPr>
        <w:numPr>
          <w:ilvl w:val="0"/>
          <w:numId w:val="12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Cobertura visual de eventos clave (presencial o remota, según necesidad). </w:t>
      </w:r>
    </w:p>
    <w:p w:rsidR="00D24D38" w:rsidRDefault="00D24D38">
      <w:pPr>
        <w:spacing w:after="0"/>
        <w:rPr>
          <w:rFonts w:ascii="Arial" w:eastAsia="Arial" w:hAnsi="Arial" w:cs="Arial"/>
        </w:rPr>
      </w:pPr>
    </w:p>
    <w:p w:rsidR="00D24D38" w:rsidRDefault="00771C9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Gestión de Comunidad </w:t>
      </w:r>
      <w:proofErr w:type="spellStart"/>
      <w:r>
        <w:rPr>
          <w:rFonts w:ascii="Arial" w:eastAsia="Arial" w:hAnsi="Arial" w:cs="Arial"/>
        </w:rPr>
        <w:t>REDi</w:t>
      </w:r>
      <w:proofErr w:type="spellEnd"/>
      <w:r>
        <w:rPr>
          <w:rFonts w:ascii="Arial" w:eastAsia="Arial" w:hAnsi="Arial" w:cs="Arial"/>
        </w:rPr>
        <w:t xml:space="preserve"> </w:t>
      </w:r>
    </w:p>
    <w:p w:rsidR="00D24D38" w:rsidRDefault="00771C98">
      <w:pPr>
        <w:numPr>
          <w:ilvl w:val="0"/>
          <w:numId w:val="2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Asignación de un </w:t>
      </w:r>
      <w:proofErr w:type="spellStart"/>
      <w:r>
        <w:rPr>
          <w:rFonts w:ascii="Arial" w:eastAsia="Arial" w:hAnsi="Arial" w:cs="Arial"/>
        </w:rPr>
        <w:t>Community</w:t>
      </w:r>
      <w:proofErr w:type="spellEnd"/>
      <w:r>
        <w:rPr>
          <w:rFonts w:ascii="Arial" w:eastAsia="Arial" w:hAnsi="Arial" w:cs="Arial"/>
        </w:rPr>
        <w:t xml:space="preserve"> Manager con experiencia en ecosistemas de innovación. </w:t>
      </w:r>
    </w:p>
    <w:p w:rsidR="00D24D38" w:rsidRDefault="00771C98">
      <w:pPr>
        <w:numPr>
          <w:ilvl w:val="0"/>
          <w:numId w:val="2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 horas mensuales para monitoreo, respuesta y animación comunitaria</w:t>
      </w:r>
      <w:r>
        <w:rPr>
          <w:rFonts w:ascii="Arial" w:eastAsia="Arial" w:hAnsi="Arial" w:cs="Arial"/>
        </w:rPr>
        <w:t>.</w:t>
      </w:r>
    </w:p>
    <w:p w:rsidR="00D24D38" w:rsidRDefault="00771C98">
      <w:pPr>
        <w:numPr>
          <w:ilvl w:val="0"/>
          <w:numId w:val="2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Coordinación con gestores regionales </w:t>
      </w:r>
      <w:proofErr w:type="spellStart"/>
      <w:r>
        <w:rPr>
          <w:rFonts w:ascii="Arial" w:eastAsia="Arial" w:hAnsi="Arial" w:cs="Arial"/>
        </w:rPr>
        <w:t>REDi</w:t>
      </w:r>
      <w:proofErr w:type="spellEnd"/>
      <w:r>
        <w:rPr>
          <w:rFonts w:ascii="Arial" w:eastAsia="Arial" w:hAnsi="Arial" w:cs="Arial"/>
        </w:rPr>
        <w:t xml:space="preserve">. </w:t>
      </w:r>
    </w:p>
    <w:p w:rsidR="00D24D38" w:rsidRDefault="00771C98">
      <w:pPr>
        <w:numPr>
          <w:ilvl w:val="0"/>
          <w:numId w:val="2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Dinamización de canales digitales (Instagram, Facebook, LinkedIn, </w:t>
      </w:r>
      <w:proofErr w:type="spellStart"/>
      <w:r>
        <w:rPr>
          <w:rFonts w:ascii="Arial" w:eastAsia="Arial" w:hAnsi="Arial" w:cs="Arial"/>
        </w:rPr>
        <w:t>TikTok</w:t>
      </w:r>
      <w:proofErr w:type="spellEnd"/>
      <w:r>
        <w:rPr>
          <w:rFonts w:ascii="Arial" w:eastAsia="Arial" w:hAnsi="Arial" w:cs="Arial"/>
        </w:rPr>
        <w:t>).</w:t>
      </w:r>
    </w:p>
    <w:p w:rsidR="00D24D38" w:rsidRDefault="00771C9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</w:p>
    <w:p w:rsidR="00D24D38" w:rsidRDefault="00771C9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Acompañamiento Operativo a Gestores </w:t>
      </w:r>
      <w:proofErr w:type="spellStart"/>
      <w:r>
        <w:rPr>
          <w:rFonts w:ascii="Arial" w:eastAsia="Arial" w:hAnsi="Arial" w:cs="Arial"/>
        </w:rPr>
        <w:t>REDi</w:t>
      </w:r>
      <w:proofErr w:type="spellEnd"/>
      <w:r>
        <w:rPr>
          <w:rFonts w:ascii="Arial" w:eastAsia="Arial" w:hAnsi="Arial" w:cs="Arial"/>
        </w:rPr>
        <w:t xml:space="preserve"> </w:t>
      </w:r>
    </w:p>
    <w:p w:rsidR="00D24D38" w:rsidRDefault="00771C98">
      <w:pPr>
        <w:numPr>
          <w:ilvl w:val="0"/>
          <w:numId w:val="2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Asignación de un Project Manager con experiencia en gestión pública o de innovación</w:t>
      </w:r>
      <w:r>
        <w:rPr>
          <w:rFonts w:ascii="Arial" w:eastAsia="Arial" w:hAnsi="Arial" w:cs="Arial"/>
        </w:rPr>
        <w:t xml:space="preserve">. </w:t>
      </w:r>
    </w:p>
    <w:p w:rsidR="00D24D38" w:rsidRDefault="00771C98">
      <w:pPr>
        <w:numPr>
          <w:ilvl w:val="0"/>
          <w:numId w:val="2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Reuniones de seguimiento semanal con la </w:t>
      </w:r>
      <w:proofErr w:type="spellStart"/>
      <w:r>
        <w:rPr>
          <w:rFonts w:ascii="Arial" w:eastAsia="Arial" w:hAnsi="Arial" w:cs="Arial"/>
        </w:rPr>
        <w:t>SICyT</w:t>
      </w:r>
      <w:proofErr w:type="spellEnd"/>
      <w:r>
        <w:rPr>
          <w:rFonts w:ascii="Arial" w:eastAsia="Arial" w:hAnsi="Arial" w:cs="Arial"/>
        </w:rPr>
        <w:t xml:space="preserve"> y gestores regionales.</w:t>
      </w:r>
    </w:p>
    <w:p w:rsidR="00D24D38" w:rsidRDefault="00771C98">
      <w:pPr>
        <w:numPr>
          <w:ilvl w:val="0"/>
          <w:numId w:val="2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Atención a necesidades personalizadas de cada centro </w:t>
      </w:r>
      <w:proofErr w:type="spellStart"/>
      <w:r>
        <w:rPr>
          <w:rFonts w:ascii="Arial" w:eastAsia="Arial" w:hAnsi="Arial" w:cs="Arial"/>
        </w:rPr>
        <w:t>REDi</w:t>
      </w:r>
      <w:proofErr w:type="spellEnd"/>
      <w:r>
        <w:rPr>
          <w:rFonts w:ascii="Arial" w:eastAsia="Arial" w:hAnsi="Arial" w:cs="Arial"/>
        </w:rPr>
        <w:t xml:space="preserve">. </w:t>
      </w:r>
    </w:p>
    <w:p w:rsidR="00D24D38" w:rsidRDefault="00771C98">
      <w:pPr>
        <w:numPr>
          <w:ilvl w:val="0"/>
          <w:numId w:val="2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Coordinación de materiales, cronogramas y entregables. </w:t>
      </w:r>
    </w:p>
    <w:p w:rsidR="00D24D38" w:rsidRDefault="00771C9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:rsidR="00D24D38" w:rsidRDefault="00771C9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6. Medición, Monitoreo y Reportes, generación de informes men</w:t>
      </w:r>
      <w:r>
        <w:rPr>
          <w:rFonts w:ascii="Arial" w:eastAsia="Arial" w:hAnsi="Arial" w:cs="Arial"/>
        </w:rPr>
        <w:t xml:space="preserve">suales con análisis de: </w:t>
      </w:r>
    </w:p>
    <w:p w:rsidR="00D24D38" w:rsidRDefault="00771C98">
      <w:pPr>
        <w:numPr>
          <w:ilvl w:val="0"/>
          <w:numId w:val="6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Alcance, </w:t>
      </w:r>
      <w:proofErr w:type="spellStart"/>
      <w:r>
        <w:rPr>
          <w:rFonts w:ascii="Arial" w:eastAsia="Arial" w:hAnsi="Arial" w:cs="Arial"/>
        </w:rPr>
        <w:t>engagement</w:t>
      </w:r>
      <w:proofErr w:type="spellEnd"/>
      <w:r>
        <w:rPr>
          <w:rFonts w:ascii="Arial" w:eastAsia="Arial" w:hAnsi="Arial" w:cs="Arial"/>
        </w:rPr>
        <w:t xml:space="preserve"> y tráfico en redes sociales. </w:t>
      </w:r>
    </w:p>
    <w:p w:rsidR="00D24D38" w:rsidRDefault="00771C98">
      <w:pPr>
        <w:numPr>
          <w:ilvl w:val="0"/>
          <w:numId w:val="6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Impacto por tipo de contenido y centro </w:t>
      </w:r>
      <w:proofErr w:type="spellStart"/>
      <w:r>
        <w:rPr>
          <w:rFonts w:ascii="Arial" w:eastAsia="Arial" w:hAnsi="Arial" w:cs="Arial"/>
        </w:rPr>
        <w:t>REDi</w:t>
      </w:r>
      <w:proofErr w:type="spellEnd"/>
      <w:r>
        <w:rPr>
          <w:rFonts w:ascii="Arial" w:eastAsia="Arial" w:hAnsi="Arial" w:cs="Arial"/>
        </w:rPr>
        <w:t xml:space="preserve">. </w:t>
      </w:r>
    </w:p>
    <w:p w:rsidR="00D24D38" w:rsidRDefault="00771C98">
      <w:pPr>
        <w:numPr>
          <w:ilvl w:val="0"/>
          <w:numId w:val="6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Conversaciones e interacciones significativas. </w:t>
      </w:r>
    </w:p>
    <w:p w:rsidR="00D24D38" w:rsidRDefault="00771C98">
      <w:pPr>
        <w:numPr>
          <w:ilvl w:val="0"/>
          <w:numId w:val="6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Evaluación de campañas activas. </w:t>
      </w:r>
    </w:p>
    <w:p w:rsidR="00D24D38" w:rsidRDefault="00771C98">
      <w:pPr>
        <w:numPr>
          <w:ilvl w:val="0"/>
          <w:numId w:val="6"/>
        </w:numPr>
        <w:spacing w:after="0"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Recomendaciones para mejora continua.</w:t>
      </w:r>
    </w:p>
    <w:p w:rsidR="00D24D38" w:rsidRDefault="00D24D38"/>
    <w:tbl>
      <w:tblPr>
        <w:tblStyle w:val="af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701"/>
        <w:gridCol w:w="3446"/>
      </w:tblGrid>
      <w:tr w:rsidR="00D24D38">
        <w:tc>
          <w:tcPr>
            <w:tcW w:w="3681" w:type="dxa"/>
          </w:tcPr>
          <w:p w:rsidR="00D24D38" w:rsidRDefault="00D24D3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D24D38" w:rsidRDefault="00771C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1701" w:type="dxa"/>
          </w:tcPr>
          <w:p w:rsidR="00D24D38" w:rsidRDefault="00771C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estimadas por mes</w:t>
            </w:r>
          </w:p>
        </w:tc>
        <w:tc>
          <w:tcPr>
            <w:tcW w:w="3446" w:type="dxa"/>
          </w:tcPr>
          <w:p w:rsidR="00D24D38" w:rsidRDefault="00D24D3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D24D38" w:rsidRDefault="00771C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Frecuencia / Detalles</w:t>
            </w:r>
          </w:p>
        </w:tc>
      </w:tr>
      <w:tr w:rsidR="00D24D38">
        <w:tc>
          <w:tcPr>
            <w:tcW w:w="3681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Community</w:t>
            </w:r>
            <w:proofErr w:type="spellEnd"/>
            <w:r>
              <w:rPr>
                <w:rFonts w:ascii="Arial" w:eastAsia="Arial" w:hAnsi="Arial" w:cs="Arial"/>
              </w:rPr>
              <w:t xml:space="preserve"> Management </w:t>
            </w:r>
          </w:p>
        </w:tc>
        <w:tc>
          <w:tcPr>
            <w:tcW w:w="1701" w:type="dxa"/>
          </w:tcPr>
          <w:p w:rsidR="00D24D38" w:rsidRDefault="00771C9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3446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Monitoreo, respuesta, animación y </w:t>
            </w:r>
            <w:proofErr w:type="spellStart"/>
            <w:r>
              <w:rPr>
                <w:rFonts w:ascii="Arial" w:eastAsia="Arial" w:hAnsi="Arial" w:cs="Arial"/>
              </w:rPr>
              <w:t>engagement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</w:tc>
      </w:tr>
      <w:tr w:rsidR="00D24D38">
        <w:tc>
          <w:tcPr>
            <w:tcW w:w="3681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Monitoreo, respuesta, animación y </w:t>
            </w:r>
            <w:proofErr w:type="spellStart"/>
            <w:r>
              <w:rPr>
                <w:rFonts w:ascii="Arial" w:eastAsia="Arial" w:hAnsi="Arial" w:cs="Arial"/>
              </w:rPr>
              <w:t>engagement</w:t>
            </w:r>
            <w:proofErr w:type="spellEnd"/>
          </w:p>
        </w:tc>
        <w:tc>
          <w:tcPr>
            <w:tcW w:w="1701" w:type="dxa"/>
          </w:tcPr>
          <w:p w:rsidR="00D24D38" w:rsidRDefault="00771C9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446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Edición, musicalización, subtítulos, publicación</w:t>
            </w:r>
          </w:p>
        </w:tc>
      </w:tr>
      <w:tr w:rsidR="00D24D38">
        <w:tc>
          <w:tcPr>
            <w:tcW w:w="3681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Diseño gráfico de publicaciones estáti</w:t>
            </w:r>
            <w:r>
              <w:rPr>
                <w:rFonts w:ascii="Arial" w:eastAsia="Arial" w:hAnsi="Arial" w:cs="Arial"/>
              </w:rPr>
              <w:t>cas</w:t>
            </w:r>
          </w:p>
        </w:tc>
        <w:tc>
          <w:tcPr>
            <w:tcW w:w="1701" w:type="dxa"/>
          </w:tcPr>
          <w:p w:rsidR="00D24D38" w:rsidRDefault="00771C9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446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 contenidos mensuales adaptados a </w:t>
            </w:r>
            <w:proofErr w:type="spellStart"/>
            <w:r>
              <w:rPr>
                <w:rFonts w:ascii="Arial" w:eastAsia="Arial" w:hAnsi="Arial" w:cs="Arial"/>
              </w:rPr>
              <w:t>REDi</w:t>
            </w:r>
            <w:proofErr w:type="spellEnd"/>
          </w:p>
        </w:tc>
      </w:tr>
      <w:tr w:rsidR="00D24D38">
        <w:tc>
          <w:tcPr>
            <w:tcW w:w="3681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Copywriting</w:t>
            </w:r>
            <w:proofErr w:type="spellEnd"/>
            <w:r>
              <w:rPr>
                <w:rFonts w:ascii="Arial" w:eastAsia="Arial" w:hAnsi="Arial" w:cs="Arial"/>
              </w:rPr>
              <w:t xml:space="preserve"> y redacción estratégica</w:t>
            </w:r>
          </w:p>
        </w:tc>
        <w:tc>
          <w:tcPr>
            <w:tcW w:w="1701" w:type="dxa"/>
          </w:tcPr>
          <w:p w:rsidR="00D24D38" w:rsidRDefault="00771C9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446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Textos persuasivos por centro y tema</w:t>
            </w:r>
          </w:p>
        </w:tc>
      </w:tr>
      <w:tr w:rsidR="00D24D38">
        <w:tc>
          <w:tcPr>
            <w:tcW w:w="3681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Parrilla editorial y planeación de contenidos</w:t>
            </w:r>
          </w:p>
        </w:tc>
        <w:tc>
          <w:tcPr>
            <w:tcW w:w="1701" w:type="dxa"/>
          </w:tcPr>
          <w:p w:rsidR="00D24D38" w:rsidRDefault="00771C9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446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Planeación mensual integrada por regiones</w:t>
            </w:r>
          </w:p>
        </w:tc>
      </w:tr>
      <w:tr w:rsidR="00D24D38">
        <w:tc>
          <w:tcPr>
            <w:tcW w:w="3681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Programación de publicaciones</w:t>
            </w:r>
          </w:p>
        </w:tc>
        <w:tc>
          <w:tcPr>
            <w:tcW w:w="1701" w:type="dxa"/>
          </w:tcPr>
          <w:p w:rsidR="00D24D38" w:rsidRDefault="00771C9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446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automatizada en plataformas digitales</w:t>
            </w:r>
          </w:p>
        </w:tc>
      </w:tr>
      <w:tr w:rsidR="00D24D38">
        <w:tc>
          <w:tcPr>
            <w:tcW w:w="3681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Monitoreo y análisis de métricas</w:t>
            </w:r>
          </w:p>
        </w:tc>
        <w:tc>
          <w:tcPr>
            <w:tcW w:w="1701" w:type="dxa"/>
          </w:tcPr>
          <w:p w:rsidR="00D24D38" w:rsidRDefault="00771C9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446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mensual + recomendaciones</w:t>
            </w:r>
          </w:p>
        </w:tc>
      </w:tr>
      <w:tr w:rsidR="00D24D38">
        <w:tc>
          <w:tcPr>
            <w:tcW w:w="3681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Actualización de eventos en web</w:t>
            </w:r>
          </w:p>
        </w:tc>
        <w:tc>
          <w:tcPr>
            <w:tcW w:w="1701" w:type="dxa"/>
          </w:tcPr>
          <w:p w:rsidR="00D24D38" w:rsidRDefault="00771C9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446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Sincronización con actividades </w:t>
            </w:r>
            <w:proofErr w:type="spellStart"/>
            <w:r>
              <w:rPr>
                <w:rFonts w:ascii="Arial" w:eastAsia="Arial" w:hAnsi="Arial" w:cs="Arial"/>
              </w:rPr>
              <w:t>REDi</w:t>
            </w:r>
            <w:proofErr w:type="spellEnd"/>
            <w:r>
              <w:rPr>
                <w:rFonts w:ascii="Arial" w:eastAsia="Arial" w:hAnsi="Arial" w:cs="Arial"/>
              </w:rPr>
              <w:t xml:space="preserve"> locales</w:t>
            </w:r>
          </w:p>
        </w:tc>
      </w:tr>
      <w:tr w:rsidR="00D24D38">
        <w:tc>
          <w:tcPr>
            <w:tcW w:w="3681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Diseño y entrega de plantillas editables (</w:t>
            </w:r>
            <w:proofErr w:type="spellStart"/>
            <w:r>
              <w:rPr>
                <w:rFonts w:ascii="Arial" w:eastAsia="Arial" w:hAnsi="Arial" w:cs="Arial"/>
              </w:rPr>
              <w:t>Canva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701" w:type="dxa"/>
          </w:tcPr>
          <w:p w:rsidR="00D24D38" w:rsidRDefault="00771C9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446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Layouts</w:t>
            </w:r>
            <w:proofErr w:type="spellEnd"/>
            <w:r>
              <w:rPr>
                <w:rFonts w:ascii="Arial" w:eastAsia="Arial" w:hAnsi="Arial" w:cs="Arial"/>
              </w:rPr>
              <w:t xml:space="preserve"> por centro, entregables mensuales</w:t>
            </w:r>
          </w:p>
        </w:tc>
      </w:tr>
      <w:tr w:rsidR="00D24D38">
        <w:tc>
          <w:tcPr>
            <w:tcW w:w="3681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Reuniones con gestores </w:t>
            </w:r>
            <w:proofErr w:type="spellStart"/>
            <w:r>
              <w:rPr>
                <w:rFonts w:ascii="Arial" w:eastAsia="Arial" w:hAnsi="Arial" w:cs="Arial"/>
              </w:rPr>
              <w:t>REDi</w:t>
            </w:r>
            <w:proofErr w:type="spellEnd"/>
            <w:r>
              <w:rPr>
                <w:rFonts w:ascii="Arial" w:eastAsia="Arial" w:hAnsi="Arial" w:cs="Arial"/>
              </w:rPr>
              <w:t xml:space="preserve"> (1:1)</w:t>
            </w:r>
          </w:p>
        </w:tc>
        <w:tc>
          <w:tcPr>
            <w:tcW w:w="1701" w:type="dxa"/>
          </w:tcPr>
          <w:p w:rsidR="00D24D38" w:rsidRDefault="00771C9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446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Acompañamiento técnico-comunicacional</w:t>
            </w:r>
          </w:p>
        </w:tc>
      </w:tr>
      <w:tr w:rsidR="00D24D38">
        <w:tc>
          <w:tcPr>
            <w:tcW w:w="3681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Project Management (coordinación general)</w:t>
            </w:r>
          </w:p>
        </w:tc>
        <w:tc>
          <w:tcPr>
            <w:tcW w:w="1701" w:type="dxa"/>
          </w:tcPr>
          <w:p w:rsidR="00D24D38" w:rsidRDefault="00771C9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446" w:type="dxa"/>
          </w:tcPr>
          <w:p w:rsidR="00D24D38" w:rsidRDefault="00771C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Supervisión, seguimiento con </w:t>
            </w:r>
            <w:proofErr w:type="spellStart"/>
            <w:r>
              <w:rPr>
                <w:rFonts w:ascii="Arial" w:eastAsia="Arial" w:hAnsi="Arial" w:cs="Arial"/>
              </w:rPr>
              <w:t>SICyT</w:t>
            </w:r>
            <w:proofErr w:type="spellEnd"/>
            <w:r>
              <w:rPr>
                <w:rFonts w:ascii="Arial" w:eastAsia="Arial" w:hAnsi="Arial" w:cs="Arial"/>
              </w:rPr>
              <w:t xml:space="preserve"> y equipo</w:t>
            </w:r>
          </w:p>
        </w:tc>
      </w:tr>
    </w:tbl>
    <w:p w:rsidR="00D24D38" w:rsidRDefault="00D24D38"/>
    <w:p w:rsidR="00D24D38" w:rsidRDefault="00771C9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Experiencia</w:t>
      </w:r>
    </w:p>
    <w:sdt>
      <w:sdtPr>
        <w:tag w:val="goog_rdk_0"/>
        <w:id w:val="1496922899"/>
        <w:lock w:val="contentLocked"/>
      </w:sdtPr>
      <w:sdtEndPr/>
      <w:sdtContent>
        <w:tbl>
          <w:tblPr>
            <w:tblStyle w:val="af4"/>
            <w:tblW w:w="882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410"/>
            <w:gridCol w:w="2910"/>
            <w:gridCol w:w="4500"/>
          </w:tblGrid>
          <w:tr w:rsidR="00D24D38">
            <w:tc>
              <w:tcPr>
                <w:tcW w:w="1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Número</w:t>
                </w:r>
              </w:p>
            </w:tc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Tipo de Documento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Justificación</w:t>
                </w:r>
              </w:p>
            </w:tc>
          </w:tr>
          <w:tr w:rsidR="00D24D38">
            <w:tc>
              <w:tcPr>
                <w:tcW w:w="1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2</w:t>
                </w:r>
              </w:p>
            </w:tc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Contratos de servicios 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Copia de contratos debidamente formalizados y legibles, con antigüedad de 01 año, en el que indiquen que han trabajado para empresas en la que le solicitan el servicio materia del presente.</w:t>
                </w:r>
              </w:p>
            </w:tc>
          </w:tr>
          <w:tr w:rsidR="00D24D38">
            <w:tc>
              <w:tcPr>
                <w:tcW w:w="1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2</w:t>
                </w:r>
              </w:p>
            </w:tc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Portafolio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24D38" w:rsidRDefault="00771C98">
                <w:pPr>
                  <w:spacing w:after="0"/>
                  <w:jc w:val="both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</w:rPr>
                  <w:t xml:space="preserve">Copia de portafolios de proyectos afines al servicio materia del presente (emprendimiento, desarrollo regional, tecnología) que demuestre conocimiento y expertise en el área de comunicación institucional gráfica y audiovisual para organismos o ecosistemas </w:t>
                </w:r>
                <w:r>
                  <w:rPr>
                    <w:rFonts w:ascii="Arial" w:eastAsia="Arial" w:hAnsi="Arial" w:cs="Arial"/>
                  </w:rPr>
                  <w:t xml:space="preserve">de innovación. Este portafolio deberá contener descripción del proyecto, objetivo, meta alcanzada, estrategia de pauta e impacto, fecha de realización, evidencia fotográfica y una </w:t>
                </w:r>
              </w:p>
            </w:tc>
          </w:tr>
          <w:tr w:rsidR="00D24D38">
            <w:tc>
              <w:tcPr>
                <w:tcW w:w="1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2</w:t>
                </w:r>
              </w:p>
            </w:tc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Cartas de recomendación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24D38" w:rsidRDefault="00771C98">
                <w:pPr>
                  <w:spacing w:after="0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Copia de carta de recomendación firmada, con ant</w:t>
                </w:r>
                <w:r>
                  <w:rPr>
                    <w:rFonts w:ascii="Arial" w:eastAsia="Arial" w:hAnsi="Arial" w:cs="Arial"/>
                  </w:rPr>
                  <w:t>igüedad no mayor a 01 año de clientes que se les haya brindado un servicio a fin materia del presente.</w:t>
                </w:r>
              </w:p>
            </w:tc>
          </w:tr>
        </w:tbl>
      </w:sdtContent>
    </w:sdt>
    <w:p w:rsidR="00D24D38" w:rsidRDefault="00D24D38">
      <w:pPr>
        <w:spacing w:after="0"/>
        <w:ind w:left="720"/>
        <w:jc w:val="both"/>
        <w:rPr>
          <w:rFonts w:ascii="Arial" w:eastAsia="Arial" w:hAnsi="Arial" w:cs="Arial"/>
        </w:rPr>
      </w:pPr>
    </w:p>
    <w:p w:rsidR="00D24D38" w:rsidRDefault="00771C9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Certificaciones o cumplimientos normativos</w:t>
      </w:r>
    </w:p>
    <w:p w:rsidR="00D24D38" w:rsidRDefault="00D24D3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</w:rPr>
      </w:pPr>
    </w:p>
    <w:sdt>
      <w:sdtPr>
        <w:tag w:val="goog_rdk_1"/>
        <w:id w:val="-1531868788"/>
        <w:lock w:val="contentLocked"/>
      </w:sdtPr>
      <w:sdtEndPr/>
      <w:sdtContent>
        <w:tbl>
          <w:tblPr>
            <w:tblStyle w:val="af5"/>
            <w:tblW w:w="8850" w:type="dxa"/>
            <w:tblInd w:w="15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095"/>
            <w:gridCol w:w="2505"/>
            <w:gridCol w:w="5250"/>
          </w:tblGrid>
          <w:tr w:rsidR="00D24D38">
            <w:trPr>
              <w:trHeight w:val="327"/>
            </w:trPr>
            <w:tc>
              <w:tcPr>
                <w:tcW w:w="10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Número</w:t>
                </w:r>
              </w:p>
            </w:tc>
            <w:tc>
              <w:tcPr>
                <w:tcW w:w="2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Tipo de Documento</w:t>
                </w:r>
              </w:p>
            </w:tc>
            <w:tc>
              <w:tcPr>
                <w:tcW w:w="5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Justificación</w:t>
                </w:r>
              </w:p>
            </w:tc>
          </w:tr>
          <w:tr w:rsidR="00D24D38">
            <w:trPr>
              <w:trHeight w:val="327"/>
            </w:trPr>
            <w:tc>
              <w:tcPr>
                <w:tcW w:w="10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2</w:t>
                </w:r>
              </w:p>
            </w:tc>
            <w:tc>
              <w:tcPr>
                <w:tcW w:w="2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Certificaciones </w:t>
                </w:r>
              </w:p>
            </w:tc>
            <w:tc>
              <w:tcPr>
                <w:tcW w:w="5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24D38" w:rsidRDefault="00771C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Documentos otorgados por Meta que valide conocimiento en áreas afines </w:t>
                </w:r>
              </w:p>
            </w:tc>
          </w:tr>
        </w:tbl>
      </w:sdtContent>
    </w:sdt>
    <w:p w:rsidR="00D24D38" w:rsidRDefault="00D24D3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</w:rPr>
      </w:pPr>
    </w:p>
    <w:p w:rsidR="00D24D38" w:rsidRDefault="00D24D3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</w:rPr>
      </w:pPr>
    </w:p>
    <w:p w:rsidR="00D24D38" w:rsidRDefault="00771C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5.6 Obligaciones de los Participantes: </w:t>
      </w:r>
    </w:p>
    <w:p w:rsidR="00D24D38" w:rsidRDefault="00D24D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tbl>
      <w:tblPr>
        <w:tblStyle w:val="af6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25"/>
        <w:gridCol w:w="5850"/>
      </w:tblGrid>
      <w:tr w:rsidR="00D24D38">
        <w:tc>
          <w:tcPr>
            <w:tcW w:w="1560" w:type="dxa"/>
            <w:vAlign w:val="center"/>
          </w:tcPr>
          <w:p w:rsidR="00D24D38" w:rsidRDefault="00771C98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</w:tc>
        <w:tc>
          <w:tcPr>
            <w:tcW w:w="1425" w:type="dxa"/>
            <w:vAlign w:val="center"/>
          </w:tcPr>
          <w:p w:rsidR="00D24D38" w:rsidRDefault="00771C98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Documento</w:t>
            </w:r>
          </w:p>
        </w:tc>
        <w:tc>
          <w:tcPr>
            <w:tcW w:w="5850" w:type="dxa"/>
            <w:vAlign w:val="center"/>
          </w:tcPr>
          <w:p w:rsidR="00D24D38" w:rsidRDefault="00771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Evidencia</w:t>
            </w:r>
          </w:p>
        </w:tc>
      </w:tr>
      <w:tr w:rsidR="00D24D38">
        <w:tc>
          <w:tcPr>
            <w:tcW w:w="1560" w:type="dxa"/>
            <w:vAlign w:val="center"/>
          </w:tcPr>
          <w:p w:rsidR="00D24D38" w:rsidRDefault="00771C98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25" w:type="dxa"/>
            <w:vAlign w:val="center"/>
          </w:tcPr>
          <w:p w:rsidR="00D24D38" w:rsidRDefault="00771C98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Carta compromiso</w:t>
            </w:r>
          </w:p>
        </w:tc>
        <w:tc>
          <w:tcPr>
            <w:tcW w:w="5850" w:type="dxa"/>
          </w:tcPr>
          <w:p w:rsidR="00D24D38" w:rsidRDefault="00771C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xpresando en términos claros que se somete y acepta las bases de la presente licitación.</w:t>
            </w:r>
          </w:p>
        </w:tc>
      </w:tr>
      <w:tr w:rsidR="00D24D38">
        <w:tc>
          <w:tcPr>
            <w:tcW w:w="1560" w:type="dxa"/>
            <w:vMerge w:val="restart"/>
            <w:vAlign w:val="center"/>
          </w:tcPr>
          <w:p w:rsidR="00D24D38" w:rsidRDefault="00771C98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D24D38" w:rsidRDefault="00771C98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Carta compromiso</w:t>
            </w:r>
          </w:p>
          <w:p w:rsidR="00D24D38" w:rsidRDefault="00771C98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(Presentar carta bajo protesta de decir verdad de:)</w:t>
            </w:r>
          </w:p>
        </w:tc>
        <w:tc>
          <w:tcPr>
            <w:tcW w:w="5850" w:type="dxa"/>
          </w:tcPr>
          <w:p w:rsidR="00D24D38" w:rsidRDefault="00771C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Que manifieste que cederá todos los derechos sobre el material generado y campañas, así como los contenidos y productos generados para el </w:t>
            </w:r>
            <w:r>
              <w:rPr>
                <w:rFonts w:ascii="Arial" w:eastAsia="Arial" w:hAnsi="Arial" w:cs="Arial"/>
              </w:rPr>
              <w:t>portal propiedad</w:t>
            </w:r>
            <w:r>
              <w:rPr>
                <w:rFonts w:ascii="Arial" w:eastAsia="Arial" w:hAnsi="Arial" w:cs="Arial"/>
                <w:color w:val="00000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COECyTJAL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</w:tr>
      <w:tr w:rsidR="00D24D38">
        <w:tc>
          <w:tcPr>
            <w:tcW w:w="1560" w:type="dxa"/>
            <w:vMerge/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5" w:type="dxa"/>
            <w:vMerge/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50" w:type="dxa"/>
          </w:tcPr>
          <w:p w:rsidR="00D24D38" w:rsidRDefault="00771C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Que una vez adjudicado, deberá reunirse de manera periódica con el equipo de la Dirección General de Innovación, Desarrollo Empresarial y Social y Comunicación Social de la Secretaría de Innovación, Ciencia y Tecnología para aclaración de dudas y seguimien</w:t>
            </w:r>
            <w:r>
              <w:rPr>
                <w:rFonts w:ascii="Arial" w:eastAsia="Arial" w:hAnsi="Arial" w:cs="Arial"/>
                <w:color w:val="000000"/>
              </w:rPr>
              <w:t xml:space="preserve">to del proyecto. Y asignar a un supervisor que estará disponible durante  el periodo de vigencia del contrato para garantizar la ejecución de los servicios, deberá evidenciarlo a través de una carta firmada por el representante legal especificando nombre, </w:t>
            </w:r>
            <w:r>
              <w:rPr>
                <w:rFonts w:ascii="Arial" w:eastAsia="Arial" w:hAnsi="Arial" w:cs="Arial"/>
                <w:color w:val="000000"/>
              </w:rPr>
              <w:t xml:space="preserve">cargo por el tiempo de los </w:t>
            </w:r>
            <w:r>
              <w:rPr>
                <w:rFonts w:ascii="Arial" w:eastAsia="Arial" w:hAnsi="Arial" w:cs="Arial"/>
              </w:rPr>
              <w:t>ocho</w:t>
            </w:r>
            <w:r>
              <w:rPr>
                <w:rFonts w:ascii="Arial" w:eastAsia="Arial" w:hAnsi="Arial" w:cs="Arial"/>
                <w:color w:val="000000"/>
              </w:rPr>
              <w:t xml:space="preserve"> meses.</w:t>
            </w:r>
          </w:p>
        </w:tc>
      </w:tr>
      <w:tr w:rsidR="00D24D38">
        <w:tc>
          <w:tcPr>
            <w:tcW w:w="1560" w:type="dxa"/>
            <w:vMerge/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5" w:type="dxa"/>
            <w:vMerge/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50" w:type="dxa"/>
          </w:tcPr>
          <w:p w:rsidR="00D24D38" w:rsidRDefault="00771C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Que se responsabiliza del contenido gráfico y dinamismo de las redes sociales y página web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 demostrar en la evidencia de impacto de la estrategia  planteada.</w:t>
            </w:r>
          </w:p>
        </w:tc>
      </w:tr>
      <w:tr w:rsidR="00D24D38">
        <w:tc>
          <w:tcPr>
            <w:tcW w:w="1560" w:type="dxa"/>
            <w:vMerge/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5" w:type="dxa"/>
            <w:vMerge/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50" w:type="dxa"/>
          </w:tcPr>
          <w:p w:rsidR="00D24D38" w:rsidRDefault="00771C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Que realizará actualizaciones de los diseños gráficos y estrategias de gestión de las redes sociales y página web para mejorar la experiencia e interés del usuario.</w:t>
            </w:r>
          </w:p>
        </w:tc>
      </w:tr>
      <w:tr w:rsidR="00D24D38">
        <w:tc>
          <w:tcPr>
            <w:tcW w:w="1560" w:type="dxa"/>
            <w:vMerge/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5" w:type="dxa"/>
            <w:vMerge/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50" w:type="dxa"/>
          </w:tcPr>
          <w:p w:rsidR="00D24D38" w:rsidRDefault="00771C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Que garantizará la entrega de un reporte de pauta mensual con el rendimiento e interacci</w:t>
            </w:r>
            <w:r>
              <w:rPr>
                <w:rFonts w:ascii="Arial" w:eastAsia="Arial" w:hAnsi="Arial" w:cs="Arial"/>
                <w:color w:val="000000"/>
              </w:rPr>
              <w:t>ón de cada una de las publicaciones y anuncios.</w:t>
            </w:r>
          </w:p>
        </w:tc>
      </w:tr>
      <w:tr w:rsidR="00D24D38">
        <w:tc>
          <w:tcPr>
            <w:tcW w:w="1560" w:type="dxa"/>
            <w:vMerge/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5" w:type="dxa"/>
            <w:vMerge/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50" w:type="dxa"/>
          </w:tcPr>
          <w:p w:rsidR="00D24D38" w:rsidRDefault="00771C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Que destinará un equipo con conocimiento y experiencia que atienda a </w:t>
            </w:r>
            <w:r>
              <w:rPr>
                <w:rFonts w:ascii="Arial" w:eastAsia="Arial" w:hAnsi="Arial" w:cs="Arial"/>
              </w:rPr>
              <w:t>la promoción</w:t>
            </w:r>
            <w:r>
              <w:rPr>
                <w:rFonts w:ascii="Arial" w:eastAsia="Arial" w:hAnsi="Arial" w:cs="Arial"/>
                <w:color w:val="000000"/>
              </w:rPr>
              <w:t xml:space="preserve"> y difusión digital que garantice la optimización de la campaña de comunicación digital y diseño gráfico.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24D38">
        <w:tc>
          <w:tcPr>
            <w:tcW w:w="1560" w:type="dxa"/>
            <w:vMerge/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5" w:type="dxa"/>
            <w:vMerge/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50" w:type="dxa"/>
          </w:tcPr>
          <w:p w:rsidR="00D24D38" w:rsidRDefault="00771C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Que cuenta con una persona designada al proyecto que coordinará y supervisará la función de diseño gráfico y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community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manager en redes sociales y actualización de contenido de sitio web con atención en la estrategia digital por la vigencia del contrato y </w:t>
            </w:r>
            <w:r>
              <w:rPr>
                <w:rFonts w:ascii="Arial" w:eastAsia="Arial" w:hAnsi="Arial" w:cs="Arial"/>
                <w:color w:val="000000"/>
              </w:rPr>
              <w:t xml:space="preserve">con el uso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chatbot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o alguna otra tecnología, así como el proceso para levantar y dar seguimiento a reportes y manejo de crisis. A su vez, el proveedor deberá garantizar la ejecución de las actividades de soporte para apoyar y asesorar a la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SICyT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en la e</w:t>
            </w:r>
            <w:r>
              <w:rPr>
                <w:rFonts w:ascii="Arial" w:eastAsia="Arial" w:hAnsi="Arial" w:cs="Arial"/>
                <w:color w:val="000000"/>
              </w:rPr>
              <w:t>jecución.</w:t>
            </w:r>
          </w:p>
        </w:tc>
      </w:tr>
      <w:tr w:rsidR="00D24D38">
        <w:tc>
          <w:tcPr>
            <w:tcW w:w="1560" w:type="dxa"/>
            <w:vMerge/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5" w:type="dxa"/>
            <w:vMerge/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50" w:type="dxa"/>
          </w:tcPr>
          <w:p w:rsidR="00D24D38" w:rsidRDefault="00771C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Que brindará atención a usuarios de manera íntegra durante la vigencia del contrato. La atención a usuarios incluye, mas no limita; responder los mensajes enviados a través de la sección de “Contacto” del portal y las redes sociales.</w:t>
            </w:r>
          </w:p>
        </w:tc>
      </w:tr>
    </w:tbl>
    <w:p w:rsidR="00D24D38" w:rsidRDefault="00D24D38">
      <w:pPr>
        <w:spacing w:after="0"/>
        <w:ind w:left="720"/>
        <w:rPr>
          <w:rFonts w:ascii="Arial" w:eastAsia="Arial" w:hAnsi="Arial" w:cs="Arial"/>
          <w:color w:val="000000"/>
          <w:highlight w:val="yellow"/>
        </w:rPr>
      </w:pPr>
    </w:p>
    <w:p w:rsidR="00D24D38" w:rsidRDefault="00D24D38">
      <w:pPr>
        <w:spacing w:after="0"/>
        <w:ind w:left="720"/>
        <w:rPr>
          <w:rFonts w:ascii="Arial" w:eastAsia="Arial" w:hAnsi="Arial" w:cs="Arial"/>
          <w:highlight w:val="yellow"/>
        </w:rPr>
      </w:pPr>
    </w:p>
    <w:p w:rsidR="00D24D38" w:rsidRDefault="00771C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Especificaciones del Contrato:</w:t>
      </w:r>
    </w:p>
    <w:p w:rsidR="00D24D38" w:rsidRDefault="00D24D38">
      <w:pPr>
        <w:spacing w:after="0"/>
        <w:ind w:left="720"/>
        <w:jc w:val="both"/>
        <w:rPr>
          <w:rFonts w:ascii="Arial" w:eastAsia="Arial" w:hAnsi="Arial" w:cs="Arial"/>
          <w:color w:val="000000"/>
          <w:highlight w:val="yellow"/>
          <w:u w:val="single"/>
        </w:rPr>
      </w:pPr>
    </w:p>
    <w:tbl>
      <w:tblPr>
        <w:tblStyle w:val="af7"/>
        <w:tblW w:w="102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435"/>
        <w:gridCol w:w="4820"/>
      </w:tblGrid>
      <w:tr w:rsidR="00D24D38">
        <w:trPr>
          <w:trHeight w:val="348"/>
          <w:jc w:val="center"/>
        </w:trPr>
        <w:tc>
          <w:tcPr>
            <w:tcW w:w="5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D38" w:rsidRDefault="00771C9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Fecha Finalización de contrato: 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D38" w:rsidRDefault="00771C9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MS Gothic" w:eastAsia="MS Gothic" w:hAnsi="MS Gothic" w:cs="MS Gothic"/>
                <w:b/>
              </w:rPr>
              <w:t>(X)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>
              <w:t xml:space="preserve">12 </w:t>
            </w:r>
            <w:r>
              <w:rPr>
                <w:color w:val="000000"/>
              </w:rPr>
              <w:t xml:space="preserve">de </w:t>
            </w:r>
            <w:r>
              <w:t xml:space="preserve">diciembre </w:t>
            </w:r>
            <w:r>
              <w:rPr>
                <w:color w:val="000000"/>
              </w:rPr>
              <w:t>del 202</w:t>
            </w:r>
            <w:r>
              <w:t>5</w:t>
            </w:r>
          </w:p>
        </w:tc>
      </w:tr>
      <w:tr w:rsidR="00D24D38">
        <w:trPr>
          <w:trHeight w:val="864"/>
          <w:jc w:val="center"/>
        </w:trPr>
        <w:tc>
          <w:tcPr>
            <w:tcW w:w="5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D38" w:rsidRDefault="00771C9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Hasta agotar Techo Presupuestal</w:t>
            </w:r>
          </w:p>
        </w:tc>
      </w:tr>
      <w:tr w:rsidR="00D24D38">
        <w:trPr>
          <w:trHeight w:val="288"/>
          <w:jc w:val="center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D38" w:rsidRDefault="00771C9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 de Contrato: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D38" w:rsidRDefault="00771C9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Abierto (   )               |                 Cerrado ( </w:t>
            </w:r>
            <w:r>
              <w:rPr>
                <w:b/>
                <w:color w:val="000000"/>
              </w:rPr>
              <w:t>X</w:t>
            </w:r>
            <w:r>
              <w:rPr>
                <w:color w:val="000000"/>
              </w:rPr>
              <w:t xml:space="preserve"> )</w:t>
            </w:r>
          </w:p>
        </w:tc>
      </w:tr>
      <w:tr w:rsidR="00D24D38">
        <w:trPr>
          <w:trHeight w:val="288"/>
          <w:jc w:val="center"/>
        </w:trPr>
        <w:tc>
          <w:tcPr>
            <w:tcW w:w="5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D38" w:rsidRDefault="00771C9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 de entrega: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D38" w:rsidRDefault="00771C9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Una sola exhibición | </w:t>
            </w:r>
            <w:r>
              <w:t xml:space="preserve">( </w:t>
            </w:r>
            <w:r>
              <w:rPr>
                <w:b/>
              </w:rPr>
              <w:t>X</w:t>
            </w:r>
            <w:r>
              <w:t xml:space="preserve"> )</w:t>
            </w:r>
            <w:r>
              <w:rPr>
                <w:color w:val="000000"/>
              </w:rPr>
              <w:t xml:space="preserve"> Por parcialidades </w:t>
            </w:r>
          </w:p>
        </w:tc>
      </w:tr>
      <w:tr w:rsidR="00D24D38">
        <w:trPr>
          <w:trHeight w:val="288"/>
          <w:jc w:val="center"/>
        </w:trPr>
        <w:tc>
          <w:tcPr>
            <w:tcW w:w="5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D38" w:rsidRDefault="00D2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D38" w:rsidRDefault="00771C98">
            <w:pPr>
              <w:spacing w:after="0" w:line="240" w:lineRule="auto"/>
              <w:jc w:val="both"/>
            </w:pPr>
            <w:r>
              <w:rPr>
                <w:color w:val="000000"/>
              </w:rPr>
              <w:t>Entregas mensuales entregar los primeros cinco días posteriores al mes ejecutado y un reporte ejecutivo final en físico y digital, que se entregará el 1</w:t>
            </w:r>
            <w:r>
              <w:t>2</w:t>
            </w:r>
            <w:r>
              <w:rPr>
                <w:color w:val="000000"/>
              </w:rPr>
              <w:t xml:space="preserve"> de diciembre, en oficinas de </w:t>
            </w:r>
            <w:proofErr w:type="spellStart"/>
            <w:r>
              <w:t>COECyTJAL</w:t>
            </w:r>
            <w:proofErr w:type="spellEnd"/>
            <w:r>
              <w:t xml:space="preserve"> ubicadas en calle Vidrio 2398, Col. Arcos, C.P. 44130 Guadalajara, Jal.</w:t>
            </w:r>
          </w:p>
        </w:tc>
      </w:tr>
      <w:tr w:rsidR="00D24D38">
        <w:trPr>
          <w:trHeight w:val="288"/>
          <w:jc w:val="center"/>
        </w:trPr>
        <w:tc>
          <w:tcPr>
            <w:tcW w:w="5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D38" w:rsidRDefault="00771C9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Tipo de Adjudicación: 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D38" w:rsidRDefault="00771C9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MS Gothic" w:eastAsia="MS Gothic" w:hAnsi="MS Gothic" w:cs="MS Gothic"/>
                <w:b/>
              </w:rPr>
              <w:t>(X)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color w:val="000000"/>
              </w:rPr>
              <w:t xml:space="preserve">A un Solo Proveedor |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Por Partida   |</w:t>
            </w:r>
          </w:p>
          <w:p w:rsidR="00D24D38" w:rsidRDefault="00771C9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Abastecimiento </w:t>
            </w:r>
            <w:r>
              <w:t>Simultáneo</w:t>
            </w:r>
          </w:p>
        </w:tc>
      </w:tr>
    </w:tbl>
    <w:p w:rsidR="00D24D38" w:rsidRDefault="00D24D38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D24D38" w:rsidRDefault="00771C9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Catálogos de bienes </w:t>
      </w:r>
    </w:p>
    <w:tbl>
      <w:tblPr>
        <w:tblStyle w:val="af8"/>
        <w:tblW w:w="101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3"/>
        <w:gridCol w:w="1215"/>
        <w:gridCol w:w="3799"/>
        <w:gridCol w:w="1381"/>
        <w:gridCol w:w="2109"/>
      </w:tblGrid>
      <w:tr w:rsidR="00D24D38">
        <w:trPr>
          <w:trHeight w:val="255"/>
          <w:jc w:val="center"/>
        </w:trPr>
        <w:tc>
          <w:tcPr>
            <w:tcW w:w="1623" w:type="dxa"/>
            <w:shd w:val="clear" w:color="auto" w:fill="auto"/>
            <w:vAlign w:val="center"/>
          </w:tcPr>
          <w:p w:rsidR="00D24D38" w:rsidRDefault="00771C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de concepto</w:t>
            </w:r>
          </w:p>
        </w:tc>
        <w:tc>
          <w:tcPr>
            <w:tcW w:w="1215" w:type="dxa"/>
            <w:vAlign w:val="center"/>
          </w:tcPr>
          <w:p w:rsidR="00D24D38" w:rsidRDefault="00771C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Partida</w:t>
            </w:r>
          </w:p>
          <w:p w:rsidR="00D24D38" w:rsidRDefault="00D24D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:rsidR="00D24D38" w:rsidRDefault="00771C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 del producto o servicio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24D38" w:rsidRDefault="00771C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24D38" w:rsidRDefault="00771C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Medida</w:t>
            </w:r>
          </w:p>
        </w:tc>
      </w:tr>
      <w:tr w:rsidR="00D24D38">
        <w:trPr>
          <w:trHeight w:val="255"/>
          <w:jc w:val="center"/>
        </w:trPr>
        <w:tc>
          <w:tcPr>
            <w:tcW w:w="1623" w:type="dxa"/>
            <w:shd w:val="clear" w:color="auto" w:fill="auto"/>
            <w:vAlign w:val="center"/>
          </w:tcPr>
          <w:p w:rsidR="00D24D38" w:rsidRDefault="00771C9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001</w:t>
            </w:r>
          </w:p>
        </w:tc>
        <w:tc>
          <w:tcPr>
            <w:tcW w:w="1215" w:type="dxa"/>
            <w:vAlign w:val="center"/>
          </w:tcPr>
          <w:p w:rsidR="00D24D38" w:rsidRDefault="00771C9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3661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24D38" w:rsidRDefault="00771C98" w:rsidP="00771C9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Servicio Integral de Estrategia de Comunicación y Difusión </w:t>
            </w:r>
            <w:proofErr w:type="spellStart"/>
            <w:r>
              <w:rPr>
                <w:rFonts w:ascii="Arial" w:eastAsia="Arial" w:hAnsi="Arial" w:cs="Arial"/>
              </w:rPr>
              <w:t>REDi</w:t>
            </w:r>
            <w:proofErr w:type="spellEnd"/>
            <w:r>
              <w:rPr>
                <w:rFonts w:ascii="Arial" w:eastAsia="Arial" w:hAnsi="Arial" w:cs="Arial"/>
              </w:rPr>
              <w:t xml:space="preserve"> para </w:t>
            </w:r>
            <w:bookmarkStart w:id="1" w:name="_GoBack"/>
            <w:bookmarkEnd w:id="1"/>
          </w:p>
        </w:tc>
        <w:tc>
          <w:tcPr>
            <w:tcW w:w="1381" w:type="dxa"/>
            <w:shd w:val="clear" w:color="auto" w:fill="auto"/>
            <w:vAlign w:val="center"/>
          </w:tcPr>
          <w:p w:rsidR="00D24D38" w:rsidRDefault="00771C9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24D38" w:rsidRDefault="00771C9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Servicio</w:t>
            </w:r>
          </w:p>
        </w:tc>
      </w:tr>
    </w:tbl>
    <w:p w:rsidR="00D24D38" w:rsidRDefault="00D24D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D24D38" w:rsidRDefault="00771C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Criterios de evaluación: </w:t>
      </w:r>
    </w:p>
    <w:p w:rsidR="00D24D38" w:rsidRDefault="00771C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De conformidad con los artículos 66, 67 </w:t>
      </w:r>
      <w:r>
        <w:rPr>
          <w:rFonts w:ascii="Arial" w:eastAsia="Arial" w:hAnsi="Arial" w:cs="Arial"/>
        </w:rPr>
        <w:t>de la ley,</w:t>
      </w:r>
      <w:r>
        <w:rPr>
          <w:rFonts w:ascii="Arial" w:eastAsia="Arial" w:hAnsi="Arial" w:cs="Arial"/>
          <w:color w:val="000000"/>
        </w:rPr>
        <w:t xml:space="preserve"> el método de evaluación utilizado para evaluar las proposiciones será mediante evaluación binaria de acuerdo a lo establecido en la Ley.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D24D38" w:rsidRDefault="00D24D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D24D38" w:rsidRDefault="00771C98">
      <w:pPr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Atentamente.</w:t>
      </w:r>
    </w:p>
    <w:p w:rsidR="00D24D38" w:rsidRDefault="00771C98">
      <w:pPr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Guadalajara, Jalisco, a 16 de mayo del 2025.</w:t>
      </w:r>
    </w:p>
    <w:p w:rsidR="00D24D38" w:rsidRDefault="00D24D38">
      <w:pPr>
        <w:spacing w:after="0" w:line="240" w:lineRule="auto"/>
        <w:ind w:firstLine="708"/>
        <w:jc w:val="center"/>
        <w:rPr>
          <w:rFonts w:ascii="Arial" w:eastAsia="Arial" w:hAnsi="Arial" w:cs="Arial"/>
        </w:rPr>
      </w:pPr>
    </w:p>
    <w:p w:rsidR="00771C98" w:rsidRDefault="00771C98">
      <w:pPr>
        <w:spacing w:after="0" w:line="240" w:lineRule="auto"/>
        <w:ind w:firstLine="708"/>
        <w:jc w:val="center"/>
        <w:rPr>
          <w:rFonts w:ascii="Arial" w:eastAsia="Arial" w:hAnsi="Arial" w:cs="Arial"/>
        </w:rPr>
      </w:pPr>
    </w:p>
    <w:tbl>
      <w:tblPr>
        <w:tblStyle w:val="af9"/>
        <w:tblpPr w:leftFromText="141" w:rightFromText="141" w:vertAnchor="text" w:tblpY="196"/>
        <w:tblW w:w="88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35"/>
      </w:tblGrid>
      <w:tr w:rsidR="00D24D38">
        <w:trPr>
          <w:trHeight w:val="220"/>
        </w:trPr>
        <w:tc>
          <w:tcPr>
            <w:tcW w:w="8835" w:type="dxa"/>
          </w:tcPr>
          <w:p w:rsidR="00771C98" w:rsidRDefault="0077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:rsidR="00771C98" w:rsidRDefault="0077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David Valle Milanés</w:t>
            </w:r>
          </w:p>
          <w:p w:rsidR="00D24D38" w:rsidRDefault="0077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Director de Estrategia</w:t>
            </w:r>
            <w:r>
              <w:rPr>
                <w:rFonts w:ascii="Arial" w:eastAsia="Arial" w:hAnsi="Arial" w:cs="Arial"/>
                <w:b/>
              </w:rPr>
              <w:t xml:space="preserve"> y Coordinación</w:t>
            </w:r>
          </w:p>
          <w:p w:rsidR="00D24D38" w:rsidRDefault="0077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Titular del área requirente</w:t>
            </w:r>
            <w:r>
              <w:rPr>
                <w:rFonts w:ascii="Arial" w:eastAsia="Arial" w:hAnsi="Arial" w:cs="Arial"/>
                <w:b/>
              </w:rPr>
              <w:t xml:space="preserve"> y responsable de la elaboración del estudio de mercado (área técnica)</w:t>
            </w:r>
          </w:p>
        </w:tc>
      </w:tr>
      <w:tr w:rsidR="00D24D38">
        <w:trPr>
          <w:trHeight w:val="220"/>
        </w:trPr>
        <w:tc>
          <w:tcPr>
            <w:tcW w:w="8835" w:type="dxa"/>
          </w:tcPr>
          <w:p w:rsidR="00D24D38" w:rsidRDefault="00D24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D24D38" w:rsidRDefault="00D24D38">
      <w:pPr>
        <w:spacing w:after="0"/>
        <w:rPr>
          <w:rFonts w:ascii="Arial" w:eastAsia="Arial" w:hAnsi="Arial" w:cs="Arial"/>
          <w:smallCaps/>
        </w:rPr>
      </w:pPr>
    </w:p>
    <w:p w:rsidR="00D24D38" w:rsidRDefault="00771C98">
      <w:pPr>
        <w:widowControl w:val="0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***FIN DEL ANEXO 1***</w:t>
      </w:r>
    </w:p>
    <w:sectPr w:rsidR="00D24D3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B12"/>
    <w:multiLevelType w:val="multilevel"/>
    <w:tmpl w:val="8E9A1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640555"/>
    <w:multiLevelType w:val="multilevel"/>
    <w:tmpl w:val="7DD4A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CC17E4"/>
    <w:multiLevelType w:val="multilevel"/>
    <w:tmpl w:val="5C42D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5A3CA3"/>
    <w:multiLevelType w:val="multilevel"/>
    <w:tmpl w:val="D6E6C3C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B70B4"/>
    <w:multiLevelType w:val="multilevel"/>
    <w:tmpl w:val="E5D26124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6869D1"/>
    <w:multiLevelType w:val="multilevel"/>
    <w:tmpl w:val="7226C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5740FA"/>
    <w:multiLevelType w:val="multilevel"/>
    <w:tmpl w:val="06649EAC"/>
    <w:lvl w:ilvl="0">
      <w:start w:val="8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E085B"/>
    <w:multiLevelType w:val="multilevel"/>
    <w:tmpl w:val="99E2E5B4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color w:val="000000"/>
      </w:rPr>
    </w:lvl>
  </w:abstractNum>
  <w:abstractNum w:abstractNumId="8" w15:restartNumberingAfterBreak="0">
    <w:nsid w:val="5F562876"/>
    <w:multiLevelType w:val="multilevel"/>
    <w:tmpl w:val="CD8C2FCA"/>
    <w:lvl w:ilvl="0">
      <w:start w:val="6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EA514D"/>
    <w:multiLevelType w:val="multilevel"/>
    <w:tmpl w:val="93326A46"/>
    <w:lvl w:ilvl="0">
      <w:start w:val="7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DB2829"/>
    <w:multiLevelType w:val="multilevel"/>
    <w:tmpl w:val="B4CA3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412575"/>
    <w:multiLevelType w:val="multilevel"/>
    <w:tmpl w:val="5C164CFA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38"/>
    <w:rsid w:val="00643602"/>
    <w:rsid w:val="00771C98"/>
    <w:rsid w:val="00D2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A246"/>
  <w15:docId w15:val="{BA75A26C-6AB0-4D36-BD86-B5874FE9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2B1A56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2B1A5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1E05"/>
    <w:pPr>
      <w:ind w:left="720"/>
      <w:contextualSpacing/>
    </w:p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4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21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DE3"/>
  </w:style>
  <w:style w:type="paragraph" w:styleId="Piedepgina">
    <w:name w:val="footer"/>
    <w:basedOn w:val="Normal"/>
    <w:link w:val="PiedepginaCar"/>
    <w:uiPriority w:val="99"/>
    <w:unhideWhenUsed/>
    <w:rsid w:val="00B21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DE3"/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jtHQzhPIRvOZf1sz4m4xegpixg==">CgMxLjAaHwoBMBIaChgICVIUChJ0YWJsZS44anp3Y256aHByancaHwoBMRIaChgICVIUChJ0YWJsZS5jcnUwZjFnNXFvYXoyCGguZ2pkZ3hzOAByITFYSGgtSkFVY0d1eG93VGp0Sk8yRXpweGlYYzZrTHc0ZA==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1362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Morfin Contreras Sarahi</dc:creator>
  <cp:lastModifiedBy>David Valle Milanés</cp:lastModifiedBy>
  <cp:revision>2</cp:revision>
  <cp:lastPrinted>2025-05-22T16:20:00Z</cp:lastPrinted>
  <dcterms:created xsi:type="dcterms:W3CDTF">2025-01-30T22:21:00Z</dcterms:created>
  <dcterms:modified xsi:type="dcterms:W3CDTF">2025-05-22T16:20:00Z</dcterms:modified>
</cp:coreProperties>
</file>